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szCs w:val="44"/>
        </w:rPr>
      </w:pPr>
      <w:r>
        <w:rPr>
          <w:rFonts w:hint="eastAsia"/>
          <w:sz w:val="44"/>
          <w:szCs w:val="44"/>
        </w:rPr>
        <w:t>河南应用技术职业学院</w:t>
      </w:r>
    </w:p>
    <w:p>
      <w:pPr>
        <w:jc w:val="center"/>
        <w:rPr>
          <w:sz w:val="44"/>
          <w:szCs w:val="44"/>
        </w:rPr>
      </w:pPr>
      <w:r>
        <w:rPr>
          <w:rFonts w:hint="eastAsia"/>
          <w:sz w:val="44"/>
          <w:szCs w:val="44"/>
        </w:rPr>
        <w:t>化学工程学院化工仿真软件升级改造项目招标参数</w:t>
      </w:r>
    </w:p>
    <w:tbl>
      <w:tblPr>
        <w:tblStyle w:val="4"/>
        <w:tblW w:w="147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1701"/>
        <w:gridCol w:w="7513"/>
        <w:gridCol w:w="851"/>
        <w:gridCol w:w="850"/>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center"/>
          </w:tcPr>
          <w:p>
            <w:pPr>
              <w:jc w:val="center"/>
              <w:rPr>
                <w:b/>
                <w:sz w:val="28"/>
                <w:szCs w:val="28"/>
              </w:rPr>
            </w:pPr>
            <w:r>
              <w:rPr>
                <w:rFonts w:hint="eastAsia"/>
                <w:b/>
                <w:sz w:val="28"/>
                <w:szCs w:val="28"/>
              </w:rPr>
              <w:t>序号</w:t>
            </w:r>
          </w:p>
        </w:tc>
        <w:tc>
          <w:tcPr>
            <w:tcW w:w="1134" w:type="dxa"/>
            <w:vAlign w:val="center"/>
          </w:tcPr>
          <w:p>
            <w:pPr>
              <w:jc w:val="center"/>
              <w:rPr>
                <w:b/>
                <w:sz w:val="28"/>
                <w:szCs w:val="28"/>
              </w:rPr>
            </w:pPr>
            <w:r>
              <w:rPr>
                <w:rFonts w:hint="eastAsia"/>
                <w:b/>
                <w:sz w:val="28"/>
                <w:szCs w:val="28"/>
              </w:rPr>
              <w:t>实训室名称</w:t>
            </w:r>
          </w:p>
        </w:tc>
        <w:tc>
          <w:tcPr>
            <w:tcW w:w="1701" w:type="dxa"/>
            <w:vAlign w:val="center"/>
          </w:tcPr>
          <w:p>
            <w:pPr>
              <w:jc w:val="center"/>
              <w:rPr>
                <w:b/>
                <w:sz w:val="28"/>
                <w:szCs w:val="28"/>
              </w:rPr>
            </w:pPr>
            <w:r>
              <w:rPr>
                <w:rFonts w:hint="eastAsia"/>
                <w:b/>
                <w:sz w:val="28"/>
                <w:szCs w:val="28"/>
              </w:rPr>
              <w:t>设备名称</w:t>
            </w:r>
          </w:p>
        </w:tc>
        <w:tc>
          <w:tcPr>
            <w:tcW w:w="7513" w:type="dxa"/>
            <w:vAlign w:val="center"/>
          </w:tcPr>
          <w:p>
            <w:pPr>
              <w:jc w:val="center"/>
              <w:rPr>
                <w:b/>
                <w:sz w:val="28"/>
                <w:szCs w:val="28"/>
              </w:rPr>
            </w:pPr>
            <w:r>
              <w:rPr>
                <w:rFonts w:hint="eastAsia"/>
                <w:b/>
                <w:sz w:val="28"/>
                <w:szCs w:val="28"/>
              </w:rPr>
              <w:t>功能与参数</w:t>
            </w:r>
          </w:p>
        </w:tc>
        <w:tc>
          <w:tcPr>
            <w:tcW w:w="851" w:type="dxa"/>
            <w:vAlign w:val="center"/>
          </w:tcPr>
          <w:p>
            <w:pPr>
              <w:jc w:val="center"/>
              <w:rPr>
                <w:b/>
                <w:sz w:val="28"/>
                <w:szCs w:val="28"/>
              </w:rPr>
            </w:pPr>
            <w:r>
              <w:rPr>
                <w:rFonts w:hint="eastAsia"/>
                <w:b/>
                <w:sz w:val="28"/>
                <w:szCs w:val="28"/>
              </w:rPr>
              <w:t>台套数</w:t>
            </w:r>
          </w:p>
        </w:tc>
        <w:tc>
          <w:tcPr>
            <w:tcW w:w="850" w:type="dxa"/>
            <w:vAlign w:val="center"/>
          </w:tcPr>
          <w:p>
            <w:pPr>
              <w:jc w:val="center"/>
              <w:rPr>
                <w:b/>
                <w:sz w:val="28"/>
                <w:szCs w:val="28"/>
              </w:rPr>
            </w:pPr>
            <w:r>
              <w:rPr>
                <w:rFonts w:hint="eastAsia"/>
                <w:b/>
                <w:sz w:val="28"/>
                <w:szCs w:val="28"/>
              </w:rPr>
              <w:t>单价</w:t>
            </w:r>
          </w:p>
        </w:tc>
        <w:tc>
          <w:tcPr>
            <w:tcW w:w="851" w:type="dxa"/>
            <w:vAlign w:val="center"/>
          </w:tcPr>
          <w:p>
            <w:pPr>
              <w:jc w:val="center"/>
              <w:rPr>
                <w:b/>
                <w:sz w:val="28"/>
                <w:szCs w:val="28"/>
              </w:rPr>
            </w:pPr>
            <w:r>
              <w:rPr>
                <w:rFonts w:hint="eastAsia"/>
                <w:b/>
                <w:sz w:val="28"/>
                <w:szCs w:val="28"/>
              </w:rPr>
              <w:t>总价</w:t>
            </w:r>
          </w:p>
        </w:tc>
        <w:tc>
          <w:tcPr>
            <w:tcW w:w="1134" w:type="dxa"/>
            <w:vAlign w:val="center"/>
          </w:tcPr>
          <w:p>
            <w:pPr>
              <w:jc w:val="center"/>
              <w:rPr>
                <w:b/>
                <w:sz w:val="28"/>
                <w:szCs w:val="28"/>
              </w:rPr>
            </w:pPr>
            <w:r>
              <w:rPr>
                <w:rFonts w:hint="eastAsia"/>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Merge w:val="restart"/>
            <w:vAlign w:val="center"/>
          </w:tcPr>
          <w:p>
            <w:pPr>
              <w:jc w:val="center"/>
              <w:rPr>
                <w:rFonts w:asciiTheme="minorEastAsia" w:hAnsiTheme="minorEastAsia"/>
                <w:szCs w:val="21"/>
              </w:rPr>
            </w:pPr>
            <w:r>
              <w:rPr>
                <w:rFonts w:hint="eastAsia" w:asciiTheme="minorEastAsia" w:hAnsiTheme="minorEastAsia"/>
                <w:szCs w:val="21"/>
              </w:rPr>
              <w:t>1</w:t>
            </w:r>
          </w:p>
        </w:tc>
        <w:tc>
          <w:tcPr>
            <w:tcW w:w="1134" w:type="dxa"/>
            <w:vMerge w:val="restart"/>
            <w:vAlign w:val="center"/>
          </w:tcPr>
          <w:p>
            <w:pPr>
              <w:jc w:val="center"/>
              <w:rPr>
                <w:rFonts w:asciiTheme="minorEastAsia" w:hAnsiTheme="minorEastAsia"/>
                <w:szCs w:val="21"/>
              </w:rPr>
            </w:pPr>
            <w:r>
              <w:rPr>
                <w:rFonts w:hint="eastAsia" w:asciiTheme="minorEastAsia" w:hAnsiTheme="minorEastAsia"/>
                <w:szCs w:val="21"/>
              </w:rPr>
              <w:t>化工仿真实训室</w:t>
            </w:r>
          </w:p>
        </w:tc>
        <w:tc>
          <w:tcPr>
            <w:tcW w:w="1701" w:type="dxa"/>
            <w:vMerge w:val="restart"/>
            <w:vAlign w:val="center"/>
          </w:tcPr>
          <w:p>
            <w:pPr>
              <w:jc w:val="center"/>
              <w:rPr>
                <w:rFonts w:asciiTheme="minorEastAsia" w:hAnsiTheme="minorEastAsia"/>
                <w:szCs w:val="21"/>
              </w:rPr>
            </w:pPr>
            <w:r>
              <w:rPr>
                <w:rFonts w:hint="eastAsia" w:asciiTheme="minorEastAsia" w:hAnsiTheme="minorEastAsia"/>
                <w:szCs w:val="21"/>
              </w:rPr>
              <w:t>化工单元CSTS虚拟现实3D仿真软件V1.0</w:t>
            </w:r>
          </w:p>
        </w:tc>
        <w:tc>
          <w:tcPr>
            <w:tcW w:w="7513" w:type="dxa"/>
          </w:tcPr>
          <w:p>
            <w:pPr>
              <w:rPr>
                <w:rFonts w:cs="宋体" w:asciiTheme="minorEastAsia" w:hAnsiTheme="minorEastAsia"/>
                <w:szCs w:val="21"/>
              </w:rPr>
            </w:pPr>
            <w:r>
              <w:rPr>
                <w:rFonts w:hint="eastAsia" w:cs="宋体" w:asciiTheme="minorEastAsia" w:hAnsiTheme="minorEastAsia"/>
                <w:szCs w:val="21"/>
              </w:rPr>
              <w:t>一、</w:t>
            </w:r>
            <w:r>
              <w:rPr>
                <w:rFonts w:hint="eastAsia" w:asciiTheme="minorEastAsia" w:hAnsiTheme="minorEastAsia" w:cstheme="minorEastAsia"/>
                <w:b/>
                <w:szCs w:val="21"/>
              </w:rPr>
              <w:t>软件内容</w:t>
            </w:r>
          </w:p>
          <w:tbl>
            <w:tblPr>
              <w:tblStyle w:val="4"/>
              <w:tblW w:w="7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2861"/>
              <w:gridCol w:w="3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3" w:type="dxa"/>
                </w:tcPr>
                <w:p>
                  <w:pPr>
                    <w:spacing w:line="360" w:lineRule="auto"/>
                    <w:jc w:val="center"/>
                    <w:rPr>
                      <w:rFonts w:asciiTheme="minorEastAsia" w:hAnsiTheme="minorEastAsia" w:cstheme="minorEastAsia"/>
                      <w:b/>
                      <w:szCs w:val="21"/>
                    </w:rPr>
                  </w:pPr>
                  <w:r>
                    <w:rPr>
                      <w:rFonts w:hint="eastAsia" w:asciiTheme="minorEastAsia" w:hAnsiTheme="minorEastAsia" w:cstheme="minorEastAsia"/>
                      <w:b/>
                      <w:szCs w:val="21"/>
                    </w:rPr>
                    <w:t>序号</w:t>
                  </w:r>
                </w:p>
              </w:tc>
              <w:tc>
                <w:tcPr>
                  <w:tcW w:w="2861" w:type="dxa"/>
                </w:tcPr>
                <w:p>
                  <w:pPr>
                    <w:spacing w:line="360" w:lineRule="auto"/>
                    <w:jc w:val="center"/>
                    <w:rPr>
                      <w:rFonts w:asciiTheme="minorEastAsia" w:hAnsiTheme="minorEastAsia" w:cstheme="minorEastAsia"/>
                      <w:b/>
                      <w:szCs w:val="21"/>
                    </w:rPr>
                  </w:pPr>
                  <w:r>
                    <w:rPr>
                      <w:rFonts w:hint="eastAsia" w:asciiTheme="minorEastAsia" w:hAnsiTheme="minorEastAsia" w:cstheme="minorEastAsia"/>
                      <w:b/>
                      <w:szCs w:val="21"/>
                    </w:rPr>
                    <w:t>软件名称</w:t>
                  </w:r>
                </w:p>
              </w:tc>
              <w:tc>
                <w:tcPr>
                  <w:tcW w:w="3653" w:type="dxa"/>
                </w:tcPr>
                <w:p>
                  <w:pPr>
                    <w:spacing w:line="360" w:lineRule="auto"/>
                    <w:jc w:val="center"/>
                    <w:rPr>
                      <w:rFonts w:asciiTheme="minorEastAsia" w:hAnsiTheme="minorEastAsia" w:cstheme="minorEastAsia"/>
                      <w:b/>
                      <w:szCs w:val="21"/>
                    </w:rPr>
                  </w:pPr>
                  <w:r>
                    <w:rPr>
                      <w:rFonts w:hint="eastAsia" w:asciiTheme="minorEastAsia" w:hAnsiTheme="minorEastAsia" w:cstheme="minorEastAsia"/>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3" w:type="dxa"/>
                </w:tcPr>
                <w:p>
                  <w:pPr>
                    <w:pStyle w:val="5"/>
                    <w:numPr>
                      <w:ilvl w:val="0"/>
                      <w:numId w:val="1"/>
                    </w:numPr>
                    <w:spacing w:line="360" w:lineRule="auto"/>
                    <w:ind w:firstLineChars="0"/>
                    <w:rPr>
                      <w:rFonts w:asciiTheme="minorEastAsia" w:hAnsiTheme="minorEastAsia" w:cstheme="minorEastAsia"/>
                      <w:szCs w:val="21"/>
                    </w:rPr>
                  </w:pPr>
                </w:p>
              </w:tc>
              <w:tc>
                <w:tcPr>
                  <w:tcW w:w="2861" w:type="dxa"/>
                </w:tcPr>
                <w:p>
                  <w:pPr>
                    <w:spacing w:line="360" w:lineRule="auto"/>
                    <w:rPr>
                      <w:rFonts w:asciiTheme="minorEastAsia" w:hAnsiTheme="minorEastAsia" w:cstheme="minorEastAsia"/>
                      <w:szCs w:val="21"/>
                    </w:rPr>
                  </w:pPr>
                  <w:r>
                    <w:rPr>
                      <w:rFonts w:hint="eastAsia" w:asciiTheme="minorEastAsia" w:hAnsiTheme="minorEastAsia" w:cstheme="minorEastAsia"/>
                      <w:szCs w:val="21"/>
                    </w:rPr>
                    <w:t>CO2压缩机工艺3D仿真软件</w:t>
                  </w:r>
                </w:p>
              </w:tc>
              <w:tc>
                <w:tcPr>
                  <w:tcW w:w="3653" w:type="dxa"/>
                </w:tcPr>
                <w:p>
                  <w:pPr>
                    <w:spacing w:line="360" w:lineRule="auto"/>
                    <w:rPr>
                      <w:rFonts w:asciiTheme="minorEastAsia" w:hAnsiTheme="minorEastAsia" w:cstheme="minorEastAsia"/>
                      <w:szCs w:val="21"/>
                    </w:rPr>
                  </w:pPr>
                  <w:r>
                    <w:rPr>
                      <w:rFonts w:hint="eastAsia" w:asciiTheme="minorEastAsia" w:hAnsiTheme="minorEastAsia"/>
                      <w:szCs w:val="21"/>
                    </w:rPr>
                    <w:t>冷态开车工况，正常操作工况，正常停工工况，事故处理（10个）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3" w:type="dxa"/>
                </w:tcPr>
                <w:p>
                  <w:pPr>
                    <w:pStyle w:val="5"/>
                    <w:numPr>
                      <w:ilvl w:val="0"/>
                      <w:numId w:val="1"/>
                    </w:numPr>
                    <w:spacing w:line="360" w:lineRule="auto"/>
                    <w:ind w:firstLineChars="0"/>
                    <w:rPr>
                      <w:rFonts w:asciiTheme="minorEastAsia" w:hAnsiTheme="minorEastAsia" w:cstheme="minorEastAsia"/>
                      <w:szCs w:val="21"/>
                    </w:rPr>
                  </w:pPr>
                </w:p>
              </w:tc>
              <w:tc>
                <w:tcPr>
                  <w:tcW w:w="2861" w:type="dxa"/>
                </w:tcPr>
                <w:p>
                  <w:pPr>
                    <w:spacing w:line="360" w:lineRule="auto"/>
                    <w:rPr>
                      <w:rFonts w:asciiTheme="minorEastAsia" w:hAnsiTheme="minorEastAsia" w:cstheme="minorEastAsia"/>
                      <w:szCs w:val="21"/>
                    </w:rPr>
                  </w:pPr>
                  <w:r>
                    <w:rPr>
                      <w:rFonts w:hint="eastAsia" w:asciiTheme="minorEastAsia" w:hAnsiTheme="minorEastAsia" w:cstheme="minorEastAsia"/>
                      <w:szCs w:val="21"/>
                    </w:rPr>
                    <w:t>固定床反应器工艺3D仿真软件</w:t>
                  </w:r>
                </w:p>
              </w:tc>
              <w:tc>
                <w:tcPr>
                  <w:tcW w:w="3653" w:type="dxa"/>
                </w:tcPr>
                <w:p>
                  <w:pPr>
                    <w:spacing w:line="360" w:lineRule="auto"/>
                    <w:rPr>
                      <w:rFonts w:asciiTheme="minorEastAsia" w:hAnsiTheme="minorEastAsia" w:cstheme="minorEastAsia"/>
                      <w:szCs w:val="21"/>
                    </w:rPr>
                  </w:pPr>
                  <w:r>
                    <w:rPr>
                      <w:rFonts w:hint="eastAsia" w:asciiTheme="minorEastAsia" w:hAnsiTheme="minorEastAsia"/>
                      <w:szCs w:val="21"/>
                    </w:rPr>
                    <w:t>冷态开车，正常停车，正常运行，事故处理（7个）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3" w:type="dxa"/>
                </w:tcPr>
                <w:p>
                  <w:pPr>
                    <w:pStyle w:val="5"/>
                    <w:numPr>
                      <w:ilvl w:val="0"/>
                      <w:numId w:val="1"/>
                    </w:numPr>
                    <w:spacing w:line="360" w:lineRule="auto"/>
                    <w:ind w:firstLineChars="0"/>
                    <w:rPr>
                      <w:rFonts w:asciiTheme="minorEastAsia" w:hAnsiTheme="minorEastAsia" w:cstheme="minorEastAsia"/>
                      <w:szCs w:val="21"/>
                    </w:rPr>
                  </w:pPr>
                </w:p>
              </w:tc>
              <w:tc>
                <w:tcPr>
                  <w:tcW w:w="2861" w:type="dxa"/>
                </w:tcPr>
                <w:p>
                  <w:pPr>
                    <w:spacing w:line="360" w:lineRule="auto"/>
                    <w:rPr>
                      <w:rFonts w:asciiTheme="minorEastAsia" w:hAnsiTheme="minorEastAsia" w:cstheme="minorEastAsia"/>
                      <w:szCs w:val="21"/>
                    </w:rPr>
                  </w:pPr>
                  <w:r>
                    <w:rPr>
                      <w:rFonts w:hint="eastAsia" w:asciiTheme="minorEastAsia" w:hAnsiTheme="minorEastAsia" w:cstheme="minorEastAsia"/>
                      <w:szCs w:val="21"/>
                    </w:rPr>
                    <w:t>管式加热炉单元3D虚拟现实仿真软件</w:t>
                  </w:r>
                </w:p>
              </w:tc>
              <w:tc>
                <w:tcPr>
                  <w:tcW w:w="3653" w:type="dxa"/>
                </w:tcPr>
                <w:p>
                  <w:pPr>
                    <w:spacing w:line="360" w:lineRule="auto"/>
                    <w:rPr>
                      <w:rFonts w:asciiTheme="minorEastAsia" w:hAnsiTheme="minorEastAsia" w:cstheme="minorEastAsia"/>
                      <w:szCs w:val="21"/>
                    </w:rPr>
                  </w:pPr>
                  <w:r>
                    <w:rPr>
                      <w:rFonts w:hint="eastAsia" w:asciiTheme="minorEastAsia" w:hAnsiTheme="minorEastAsia"/>
                      <w:szCs w:val="21"/>
                    </w:rPr>
                    <w:t>冷态开车，正常停车，正常操作，事故处理（8个）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3" w:type="dxa"/>
                </w:tcPr>
                <w:p>
                  <w:pPr>
                    <w:pStyle w:val="5"/>
                    <w:numPr>
                      <w:ilvl w:val="0"/>
                      <w:numId w:val="1"/>
                    </w:numPr>
                    <w:spacing w:line="360" w:lineRule="auto"/>
                    <w:ind w:firstLineChars="0"/>
                    <w:rPr>
                      <w:rFonts w:asciiTheme="minorEastAsia" w:hAnsiTheme="minorEastAsia" w:cstheme="minorEastAsia"/>
                      <w:szCs w:val="21"/>
                    </w:rPr>
                  </w:pPr>
                </w:p>
              </w:tc>
              <w:tc>
                <w:tcPr>
                  <w:tcW w:w="2861" w:type="dxa"/>
                </w:tcPr>
                <w:p>
                  <w:pPr>
                    <w:spacing w:line="360" w:lineRule="auto"/>
                    <w:rPr>
                      <w:rFonts w:asciiTheme="minorEastAsia" w:hAnsiTheme="minorEastAsia" w:cstheme="minorEastAsia"/>
                      <w:szCs w:val="21"/>
                    </w:rPr>
                  </w:pPr>
                  <w:r>
                    <w:rPr>
                      <w:rFonts w:hint="eastAsia" w:asciiTheme="minorEastAsia" w:hAnsiTheme="minorEastAsia" w:cstheme="minorEastAsia"/>
                      <w:szCs w:val="21"/>
                    </w:rPr>
                    <w:t>间歇釜反应单元3D虚拟现实仿真软件</w:t>
                  </w:r>
                </w:p>
              </w:tc>
              <w:tc>
                <w:tcPr>
                  <w:tcW w:w="3653" w:type="dxa"/>
                </w:tcPr>
                <w:p>
                  <w:pPr>
                    <w:spacing w:line="360" w:lineRule="auto"/>
                    <w:rPr>
                      <w:rFonts w:asciiTheme="minorEastAsia" w:hAnsiTheme="minorEastAsia" w:cstheme="minorEastAsia"/>
                      <w:szCs w:val="21"/>
                    </w:rPr>
                  </w:pPr>
                  <w:r>
                    <w:rPr>
                      <w:rFonts w:hint="eastAsia" w:asciiTheme="minorEastAsia" w:hAnsiTheme="minorEastAsia"/>
                      <w:szCs w:val="21"/>
                    </w:rPr>
                    <w:t>冷态开车，热态开车，正常停车，事故处理（5个）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3" w:type="dxa"/>
                </w:tcPr>
                <w:p>
                  <w:pPr>
                    <w:pStyle w:val="5"/>
                    <w:numPr>
                      <w:ilvl w:val="0"/>
                      <w:numId w:val="1"/>
                    </w:numPr>
                    <w:spacing w:line="360" w:lineRule="auto"/>
                    <w:ind w:firstLineChars="0"/>
                    <w:rPr>
                      <w:rFonts w:asciiTheme="minorEastAsia" w:hAnsiTheme="minorEastAsia" w:cstheme="minorEastAsia"/>
                      <w:szCs w:val="21"/>
                    </w:rPr>
                  </w:pPr>
                </w:p>
              </w:tc>
              <w:tc>
                <w:tcPr>
                  <w:tcW w:w="2861" w:type="dxa"/>
                </w:tcPr>
                <w:p>
                  <w:pPr>
                    <w:spacing w:line="360" w:lineRule="auto"/>
                    <w:rPr>
                      <w:rFonts w:asciiTheme="minorEastAsia" w:hAnsiTheme="minorEastAsia" w:cstheme="minorEastAsia"/>
                      <w:szCs w:val="21"/>
                    </w:rPr>
                  </w:pPr>
                  <w:r>
                    <w:rPr>
                      <w:rFonts w:hint="eastAsia" w:asciiTheme="minorEastAsia" w:hAnsiTheme="minorEastAsia" w:cstheme="minorEastAsia"/>
                      <w:szCs w:val="21"/>
                    </w:rPr>
                    <w:t>精馏塔单元3D虚拟现实仿真软件</w:t>
                  </w:r>
                </w:p>
              </w:tc>
              <w:tc>
                <w:tcPr>
                  <w:tcW w:w="3653" w:type="dxa"/>
                </w:tcPr>
                <w:p>
                  <w:pPr>
                    <w:spacing w:line="360" w:lineRule="auto"/>
                    <w:rPr>
                      <w:rFonts w:asciiTheme="minorEastAsia" w:hAnsiTheme="minorEastAsia" w:cstheme="minorEastAsia"/>
                      <w:szCs w:val="21"/>
                    </w:rPr>
                  </w:pPr>
                  <w:r>
                    <w:rPr>
                      <w:rFonts w:hint="eastAsia" w:asciiTheme="minorEastAsia" w:hAnsiTheme="minorEastAsia"/>
                      <w:szCs w:val="21"/>
                    </w:rPr>
                    <w:t>冷态开车，正常停车，正常运行，事故处理（16个）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3" w:type="dxa"/>
                </w:tcPr>
                <w:p>
                  <w:pPr>
                    <w:pStyle w:val="5"/>
                    <w:numPr>
                      <w:ilvl w:val="0"/>
                      <w:numId w:val="1"/>
                    </w:numPr>
                    <w:spacing w:line="360" w:lineRule="auto"/>
                    <w:ind w:firstLineChars="0"/>
                    <w:rPr>
                      <w:rFonts w:asciiTheme="minorEastAsia" w:hAnsiTheme="minorEastAsia" w:cstheme="minorEastAsia"/>
                      <w:szCs w:val="21"/>
                    </w:rPr>
                  </w:pPr>
                </w:p>
              </w:tc>
              <w:tc>
                <w:tcPr>
                  <w:tcW w:w="2861" w:type="dxa"/>
                </w:tcPr>
                <w:p>
                  <w:pPr>
                    <w:spacing w:line="360" w:lineRule="auto"/>
                    <w:rPr>
                      <w:rFonts w:asciiTheme="minorEastAsia" w:hAnsiTheme="minorEastAsia" w:cstheme="minorEastAsia"/>
                      <w:szCs w:val="21"/>
                    </w:rPr>
                  </w:pPr>
                  <w:r>
                    <w:rPr>
                      <w:rFonts w:hint="eastAsia" w:asciiTheme="minorEastAsia" w:hAnsiTheme="minorEastAsia" w:cstheme="minorEastAsia"/>
                      <w:szCs w:val="21"/>
                    </w:rPr>
                    <w:t xml:space="preserve">吸收-解吸工艺3D仿真软件 </w:t>
                  </w:r>
                </w:p>
              </w:tc>
              <w:tc>
                <w:tcPr>
                  <w:tcW w:w="3653" w:type="dxa"/>
                </w:tcPr>
                <w:p>
                  <w:pPr>
                    <w:spacing w:line="360" w:lineRule="auto"/>
                    <w:rPr>
                      <w:rFonts w:asciiTheme="minorEastAsia" w:hAnsiTheme="minorEastAsia" w:cstheme="minorEastAsia"/>
                      <w:szCs w:val="21"/>
                    </w:rPr>
                  </w:pPr>
                  <w:r>
                    <w:rPr>
                      <w:rFonts w:hint="eastAsia" w:asciiTheme="minorEastAsia" w:hAnsiTheme="minorEastAsia"/>
                      <w:szCs w:val="21"/>
                    </w:rPr>
                    <w:t>冷态开车，正常停车，正常操作，事故处理（13个）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3" w:type="dxa"/>
                </w:tcPr>
                <w:p>
                  <w:pPr>
                    <w:pStyle w:val="5"/>
                    <w:numPr>
                      <w:ilvl w:val="0"/>
                      <w:numId w:val="1"/>
                    </w:numPr>
                    <w:spacing w:line="360" w:lineRule="auto"/>
                    <w:ind w:firstLineChars="0"/>
                    <w:rPr>
                      <w:rFonts w:asciiTheme="minorEastAsia" w:hAnsiTheme="minorEastAsia" w:cstheme="minorEastAsia"/>
                      <w:szCs w:val="21"/>
                    </w:rPr>
                  </w:pPr>
                </w:p>
              </w:tc>
              <w:tc>
                <w:tcPr>
                  <w:tcW w:w="2861" w:type="dxa"/>
                </w:tcPr>
                <w:p>
                  <w:pPr>
                    <w:spacing w:line="360" w:lineRule="auto"/>
                    <w:rPr>
                      <w:rFonts w:asciiTheme="minorEastAsia" w:hAnsiTheme="minorEastAsia" w:cstheme="minorEastAsia"/>
                      <w:szCs w:val="21"/>
                    </w:rPr>
                  </w:pPr>
                  <w:r>
                    <w:rPr>
                      <w:rFonts w:hint="eastAsia" w:asciiTheme="minorEastAsia" w:hAnsiTheme="minorEastAsia" w:cstheme="minorEastAsia"/>
                      <w:szCs w:val="21"/>
                    </w:rPr>
                    <w:t>化工单元设备素材库</w:t>
                  </w:r>
                </w:p>
              </w:tc>
              <w:tc>
                <w:tcPr>
                  <w:tcW w:w="3653" w:type="dxa"/>
                </w:tcPr>
                <w:p>
                  <w:pPr>
                    <w:spacing w:line="360" w:lineRule="auto"/>
                    <w:rPr>
                      <w:rFonts w:asciiTheme="minorEastAsia" w:hAnsiTheme="minorEastAsia" w:cstheme="minorEastAsia"/>
                      <w:szCs w:val="21"/>
                    </w:rPr>
                  </w:pPr>
                  <w:r>
                    <w:rPr>
                      <w:rFonts w:hint="eastAsia" w:asciiTheme="minorEastAsia" w:hAnsiTheme="minorEastAsia" w:cstheme="minorEastAsia"/>
                      <w:szCs w:val="21"/>
                    </w:rPr>
                    <w:t>不少于200个知识点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3" w:type="dxa"/>
                </w:tcPr>
                <w:p>
                  <w:pPr>
                    <w:pStyle w:val="5"/>
                    <w:numPr>
                      <w:ilvl w:val="0"/>
                      <w:numId w:val="1"/>
                    </w:numPr>
                    <w:spacing w:line="360" w:lineRule="auto"/>
                    <w:ind w:firstLineChars="0"/>
                    <w:rPr>
                      <w:rFonts w:asciiTheme="minorEastAsia" w:hAnsiTheme="minorEastAsia" w:cstheme="minorEastAsia"/>
                      <w:szCs w:val="21"/>
                    </w:rPr>
                  </w:pPr>
                </w:p>
              </w:tc>
              <w:tc>
                <w:tcPr>
                  <w:tcW w:w="2861" w:type="dxa"/>
                </w:tcPr>
                <w:p>
                  <w:pPr>
                    <w:spacing w:line="360" w:lineRule="auto"/>
                    <w:rPr>
                      <w:rFonts w:asciiTheme="minorEastAsia" w:hAnsiTheme="minorEastAsia" w:cstheme="minorEastAsia"/>
                      <w:szCs w:val="21"/>
                    </w:rPr>
                  </w:pPr>
                  <w:r>
                    <w:rPr>
                      <w:rFonts w:hint="eastAsia" w:asciiTheme="minorEastAsia" w:hAnsiTheme="minorEastAsia" w:cstheme="minorEastAsia"/>
                      <w:szCs w:val="21"/>
                    </w:rPr>
                    <w:t>化工单元网络题库</w:t>
                  </w:r>
                </w:p>
              </w:tc>
              <w:tc>
                <w:tcPr>
                  <w:tcW w:w="3653" w:type="dxa"/>
                </w:tcPr>
                <w:p>
                  <w:pPr>
                    <w:spacing w:line="360" w:lineRule="auto"/>
                    <w:rPr>
                      <w:rFonts w:asciiTheme="minorEastAsia" w:hAnsiTheme="minorEastAsia" w:cstheme="minorEastAsia"/>
                      <w:szCs w:val="21"/>
                    </w:rPr>
                  </w:pPr>
                  <w:r>
                    <w:rPr>
                      <w:rFonts w:hint="eastAsia" w:asciiTheme="minorEastAsia" w:hAnsiTheme="minorEastAsia" w:cstheme="minorEastAsia"/>
                      <w:szCs w:val="21"/>
                    </w:rPr>
                    <w:t>不少于300道题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3" w:type="dxa"/>
                </w:tcPr>
                <w:p>
                  <w:pPr>
                    <w:pStyle w:val="5"/>
                    <w:numPr>
                      <w:ilvl w:val="0"/>
                      <w:numId w:val="1"/>
                    </w:numPr>
                    <w:spacing w:line="360" w:lineRule="auto"/>
                    <w:ind w:firstLineChars="0"/>
                    <w:rPr>
                      <w:rFonts w:asciiTheme="minorEastAsia" w:hAnsiTheme="minorEastAsia" w:cstheme="minorEastAsia"/>
                      <w:szCs w:val="21"/>
                    </w:rPr>
                  </w:pPr>
                </w:p>
              </w:tc>
              <w:tc>
                <w:tcPr>
                  <w:tcW w:w="2861" w:type="dxa"/>
                </w:tcPr>
                <w:p>
                  <w:pPr>
                    <w:spacing w:line="360" w:lineRule="auto"/>
                    <w:rPr>
                      <w:rFonts w:asciiTheme="minorEastAsia" w:hAnsiTheme="minorEastAsia" w:cstheme="minorEastAsia"/>
                      <w:szCs w:val="21"/>
                    </w:rPr>
                  </w:pPr>
                  <w:r>
                    <w:rPr>
                      <w:rFonts w:hint="eastAsia" w:asciiTheme="minorEastAsia" w:hAnsiTheme="minorEastAsia" w:cstheme="minorEastAsia"/>
                      <w:szCs w:val="21"/>
                    </w:rPr>
                    <w:t>化工单元网络配套教学资源</w:t>
                  </w:r>
                </w:p>
              </w:tc>
              <w:tc>
                <w:tcPr>
                  <w:tcW w:w="3653" w:type="dxa"/>
                </w:tcPr>
                <w:p>
                  <w:pPr>
                    <w:spacing w:line="360" w:lineRule="auto"/>
                    <w:rPr>
                      <w:rFonts w:asciiTheme="minorEastAsia" w:hAnsiTheme="minorEastAsia" w:cstheme="minorEastAsia"/>
                      <w:szCs w:val="21"/>
                    </w:rPr>
                  </w:pPr>
                </w:p>
              </w:tc>
            </w:tr>
          </w:tbl>
          <w:p>
            <w:pPr>
              <w:rPr>
                <w:rFonts w:asciiTheme="minorEastAsia" w:hAnsiTheme="minorEastAsia"/>
                <w:szCs w:val="21"/>
              </w:rPr>
            </w:pPr>
          </w:p>
        </w:tc>
        <w:tc>
          <w:tcPr>
            <w:tcW w:w="851" w:type="dxa"/>
            <w:vMerge w:val="restart"/>
            <w:vAlign w:val="center"/>
          </w:tcPr>
          <w:p>
            <w:pPr>
              <w:jc w:val="center"/>
              <w:rPr>
                <w:sz w:val="28"/>
                <w:szCs w:val="28"/>
              </w:rPr>
            </w:pPr>
            <w:r>
              <w:rPr>
                <w:rFonts w:hint="eastAsia"/>
                <w:sz w:val="28"/>
                <w:szCs w:val="28"/>
              </w:rPr>
              <w:t>1</w:t>
            </w:r>
          </w:p>
        </w:tc>
        <w:tc>
          <w:tcPr>
            <w:tcW w:w="850" w:type="dxa"/>
            <w:vMerge w:val="restart"/>
            <w:vAlign w:val="center"/>
          </w:tcPr>
          <w:p>
            <w:pPr>
              <w:jc w:val="center"/>
              <w:rPr>
                <w:sz w:val="28"/>
                <w:szCs w:val="28"/>
              </w:rPr>
            </w:pPr>
            <w:r>
              <w:rPr>
                <w:rFonts w:hint="eastAsia"/>
                <w:sz w:val="28"/>
                <w:szCs w:val="28"/>
              </w:rPr>
              <w:t>15</w:t>
            </w:r>
          </w:p>
        </w:tc>
        <w:tc>
          <w:tcPr>
            <w:tcW w:w="851" w:type="dxa"/>
            <w:vMerge w:val="restart"/>
            <w:vAlign w:val="center"/>
          </w:tcPr>
          <w:p>
            <w:pPr>
              <w:jc w:val="center"/>
              <w:rPr>
                <w:sz w:val="28"/>
                <w:szCs w:val="28"/>
              </w:rPr>
            </w:pPr>
            <w:r>
              <w:rPr>
                <w:rFonts w:hint="eastAsia"/>
                <w:sz w:val="28"/>
                <w:szCs w:val="28"/>
              </w:rPr>
              <w:t>15</w:t>
            </w:r>
          </w:p>
        </w:tc>
        <w:tc>
          <w:tcPr>
            <w:tcW w:w="1134" w:type="dxa"/>
            <w:vMerge w:val="restart"/>
            <w:vAlign w:val="center"/>
          </w:tcPr>
          <w:p>
            <w:pPr>
              <w:jc w:val="center"/>
              <w:rPr>
                <w:sz w:val="28"/>
                <w:szCs w:val="28"/>
              </w:rPr>
            </w:pPr>
            <w:r>
              <w:rPr>
                <w:rFonts w:hint="eastAsia" w:ascii="宋体" w:hAnsi="宋体"/>
                <w:szCs w:val="21"/>
              </w:rPr>
              <w:t>原化工单元CSTS仿真软件升级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Merge w:val="continue"/>
          </w:tcPr>
          <w:p>
            <w:pPr>
              <w:rPr>
                <w:rFonts w:asciiTheme="minorEastAsia" w:hAnsiTheme="minorEastAsia"/>
                <w:szCs w:val="21"/>
              </w:rPr>
            </w:pPr>
          </w:p>
        </w:tc>
        <w:tc>
          <w:tcPr>
            <w:tcW w:w="1134" w:type="dxa"/>
            <w:vMerge w:val="continue"/>
          </w:tcPr>
          <w:p>
            <w:pPr>
              <w:rPr>
                <w:rFonts w:asciiTheme="minorEastAsia" w:hAnsiTheme="minorEastAsia"/>
                <w:szCs w:val="21"/>
              </w:rPr>
            </w:pPr>
          </w:p>
        </w:tc>
        <w:tc>
          <w:tcPr>
            <w:tcW w:w="1701" w:type="dxa"/>
            <w:vMerge w:val="continue"/>
          </w:tcPr>
          <w:p>
            <w:pPr>
              <w:rPr>
                <w:rFonts w:asciiTheme="minorEastAsia" w:hAnsiTheme="minorEastAsia"/>
                <w:szCs w:val="21"/>
              </w:rPr>
            </w:pPr>
          </w:p>
        </w:tc>
        <w:tc>
          <w:tcPr>
            <w:tcW w:w="7513" w:type="dxa"/>
          </w:tcPr>
          <w:p>
            <w:pPr>
              <w:pStyle w:val="6"/>
              <w:spacing w:line="360" w:lineRule="auto"/>
              <w:ind w:firstLine="0" w:firstLineChars="0"/>
              <w:rPr>
                <w:rFonts w:asciiTheme="minorEastAsia" w:hAnsiTheme="minorEastAsia" w:cstheme="minorEastAsia"/>
                <w:b/>
                <w:szCs w:val="21"/>
              </w:rPr>
            </w:pPr>
            <w:r>
              <w:rPr>
                <w:rFonts w:hint="eastAsia" w:asciiTheme="minorEastAsia" w:hAnsiTheme="minorEastAsia" w:cstheme="minorEastAsia"/>
                <w:b/>
                <w:szCs w:val="21"/>
              </w:rPr>
              <w:t>二、三维仿真软件系统功能要求</w:t>
            </w:r>
          </w:p>
          <w:p>
            <w:pPr>
              <w:widowControl/>
              <w:tabs>
                <w:tab w:val="left" w:pos="1080"/>
              </w:tabs>
              <w:adjustRightInd w:val="0"/>
              <w:snapToGrid w:val="0"/>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软件依据计算机虚拟仿真技术进行开发，真实再现化工厂环境和操作过程，并对操作数据进行分析，得到仿真结果；该软件以真实数据库作为支撑，仿真操作过程与真实设备操作过程极其相似，仿真结果与真实系统结果非常接近，能够满足日常培训、常规考核以及技能大赛等各种需求。</w:t>
            </w:r>
          </w:p>
          <w:p>
            <w:pPr>
              <w:widowControl/>
              <w:tabs>
                <w:tab w:val="left" w:pos="1080"/>
              </w:tabs>
              <w:adjustRightInd w:val="0"/>
              <w:snapToGrid w:val="0"/>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1. 现场操作模块：主要用于实验操作中对现场设备的操作仿真，其包括了各实验的主要设备、风机、水泵、流量计、必备的开关阀和调节阀。学员可以在仿真的工厂环境中漫游，认识各设备组件，在环境中可以实现360°旋转。</w:t>
            </w:r>
          </w:p>
          <w:p>
            <w:pPr>
              <w:widowControl/>
              <w:tabs>
                <w:tab w:val="left" w:pos="1080"/>
              </w:tabs>
              <w:adjustRightInd w:val="0"/>
              <w:snapToGrid w:val="0"/>
              <w:spacing w:line="360" w:lineRule="auto"/>
              <w:ind w:firstLine="420" w:firstLineChars="200"/>
              <w:jc w:val="left"/>
              <w:rPr>
                <w:rFonts w:asciiTheme="minorEastAsia" w:hAnsiTheme="minorEastAsia" w:cstheme="minorEastAsia"/>
                <w:szCs w:val="21"/>
              </w:rPr>
            </w:pPr>
            <w:bookmarkStart w:id="0" w:name="OLE_LINK12"/>
            <w:r>
              <w:rPr>
                <w:rFonts w:hint="eastAsia" w:asciiTheme="minorEastAsia" w:hAnsiTheme="minorEastAsia" w:cstheme="minorEastAsia"/>
                <w:szCs w:val="21"/>
              </w:rPr>
              <w:t>需要有一段巡线的厂区漫游，介绍各设备以及在其中进行的反应和原理。</w:t>
            </w:r>
          </w:p>
          <w:bookmarkEnd w:id="0"/>
          <w:p>
            <w:pPr>
              <w:widowControl/>
              <w:adjustRightInd w:val="0"/>
              <w:snapToGrid w:val="0"/>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2. 调节阀门模块：主要用于现场和DCS操作中，对现场阀和控制阀的操作，根据阀门开度大小，仪表显示不同，要求每个单元至少有20个阀门可以进行调节。</w:t>
            </w:r>
          </w:p>
          <w:p>
            <w:pPr>
              <w:widowControl/>
              <w:adjustRightInd w:val="0"/>
              <w:snapToGrid w:val="0"/>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3 .查找阀门模块：显示需要查找阀门方向与距离阀门距离，用多少米显示。</w:t>
            </w:r>
          </w:p>
          <w:p>
            <w:pPr>
              <w:widowControl/>
              <w:adjustRightInd w:val="0"/>
              <w:snapToGrid w:val="0"/>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4. 知识点模块：每个单元有不少于5个动画或视频的知识点。</w:t>
            </w:r>
          </w:p>
          <w:p>
            <w:pPr>
              <w:widowControl/>
              <w:adjustRightInd w:val="0"/>
              <w:snapToGrid w:val="0"/>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5. 报警模块：每个单元有不少于3个报警点，发生警报时有警报声，并且在发生事故点有汉字提示报警原因。</w:t>
            </w:r>
          </w:p>
          <w:p>
            <w:pPr>
              <w:ind w:firstLine="420" w:firstLineChars="200"/>
              <w:rPr>
                <w:rFonts w:asciiTheme="minorEastAsia" w:hAnsiTheme="minorEastAsia"/>
                <w:szCs w:val="21"/>
              </w:rPr>
            </w:pPr>
            <w:r>
              <w:rPr>
                <w:rFonts w:hint="eastAsia" w:asciiTheme="minorEastAsia" w:hAnsiTheme="minorEastAsia" w:cstheme="minorEastAsia"/>
                <w:szCs w:val="21"/>
              </w:rPr>
              <w:t>6 .思考题模块：有不少于20道思考题用于考察学生的学习情况。该思考题教师可以自主进行编辑。</w:t>
            </w:r>
          </w:p>
        </w:tc>
        <w:tc>
          <w:tcPr>
            <w:tcW w:w="851" w:type="dxa"/>
            <w:vMerge w:val="continue"/>
          </w:tcPr>
          <w:p>
            <w:pPr>
              <w:rPr>
                <w:sz w:val="28"/>
                <w:szCs w:val="28"/>
              </w:rPr>
            </w:pPr>
          </w:p>
        </w:tc>
        <w:tc>
          <w:tcPr>
            <w:tcW w:w="850" w:type="dxa"/>
            <w:vMerge w:val="continue"/>
          </w:tcPr>
          <w:p>
            <w:pPr>
              <w:rPr>
                <w:sz w:val="28"/>
                <w:szCs w:val="28"/>
              </w:rPr>
            </w:pPr>
          </w:p>
        </w:tc>
        <w:tc>
          <w:tcPr>
            <w:tcW w:w="851" w:type="dxa"/>
            <w:vMerge w:val="continue"/>
          </w:tcPr>
          <w:p>
            <w:pPr>
              <w:rPr>
                <w:sz w:val="28"/>
                <w:szCs w:val="28"/>
              </w:rPr>
            </w:pPr>
          </w:p>
        </w:tc>
        <w:tc>
          <w:tcPr>
            <w:tcW w:w="1134" w:type="dxa"/>
            <w:vMerge w:val="continue"/>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Merge w:val="continue"/>
          </w:tcPr>
          <w:p>
            <w:pPr>
              <w:rPr>
                <w:rFonts w:asciiTheme="minorEastAsia" w:hAnsiTheme="minorEastAsia"/>
                <w:szCs w:val="21"/>
              </w:rPr>
            </w:pPr>
          </w:p>
        </w:tc>
        <w:tc>
          <w:tcPr>
            <w:tcW w:w="1134" w:type="dxa"/>
            <w:vMerge w:val="continue"/>
          </w:tcPr>
          <w:p>
            <w:pPr>
              <w:rPr>
                <w:rFonts w:asciiTheme="minorEastAsia" w:hAnsiTheme="minorEastAsia"/>
                <w:szCs w:val="21"/>
              </w:rPr>
            </w:pPr>
          </w:p>
        </w:tc>
        <w:tc>
          <w:tcPr>
            <w:tcW w:w="1701" w:type="dxa"/>
            <w:vMerge w:val="continue"/>
          </w:tcPr>
          <w:p>
            <w:pPr>
              <w:rPr>
                <w:rFonts w:asciiTheme="minorEastAsia" w:hAnsiTheme="minorEastAsia"/>
                <w:szCs w:val="21"/>
              </w:rPr>
            </w:pPr>
          </w:p>
        </w:tc>
        <w:tc>
          <w:tcPr>
            <w:tcW w:w="7513" w:type="dxa"/>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三、学院站功能</w:t>
            </w:r>
          </w:p>
          <w:p>
            <w:pPr>
              <w:widowControl/>
              <w:spacing w:line="360" w:lineRule="auto"/>
              <w:ind w:firstLine="420" w:firstLineChars="200"/>
              <w:jc w:val="left"/>
              <w:rPr>
                <w:rFonts w:cs="宋体" w:asciiTheme="minorEastAsia" w:hAnsiTheme="minorEastAsia"/>
                <w:bCs/>
                <w:szCs w:val="21"/>
              </w:rPr>
            </w:pPr>
            <w:r>
              <w:rPr>
                <w:rFonts w:hint="eastAsia" w:cs="宋体" w:asciiTheme="minorEastAsia" w:hAnsiTheme="minorEastAsia"/>
                <w:bCs/>
                <w:szCs w:val="21"/>
              </w:rPr>
              <w:t>1.培训项目选择：根据需要选择不同的培训项目；</w:t>
            </w:r>
          </w:p>
          <w:p>
            <w:pPr>
              <w:widowControl/>
              <w:spacing w:line="360" w:lineRule="auto"/>
              <w:ind w:firstLine="420" w:firstLineChars="200"/>
              <w:jc w:val="left"/>
              <w:rPr>
                <w:rFonts w:cs="宋体" w:asciiTheme="minorEastAsia" w:hAnsiTheme="minorEastAsia"/>
                <w:bCs/>
                <w:szCs w:val="21"/>
              </w:rPr>
            </w:pPr>
            <w:r>
              <w:rPr>
                <w:rFonts w:hint="eastAsia" w:cs="宋体" w:asciiTheme="minorEastAsia" w:hAnsiTheme="minorEastAsia"/>
                <w:bCs/>
                <w:szCs w:val="21"/>
              </w:rPr>
              <w:t>2.重做当前任务：重新加载当前工况内容</w:t>
            </w:r>
          </w:p>
          <w:p>
            <w:pPr>
              <w:widowControl/>
              <w:spacing w:line="360" w:lineRule="auto"/>
              <w:ind w:firstLine="420" w:firstLineChars="200"/>
              <w:jc w:val="left"/>
              <w:rPr>
                <w:rFonts w:cs="宋体" w:asciiTheme="minorEastAsia" w:hAnsiTheme="minorEastAsia"/>
                <w:bCs/>
                <w:szCs w:val="21"/>
              </w:rPr>
            </w:pPr>
            <w:r>
              <w:rPr>
                <w:rFonts w:hint="eastAsia" w:cs="宋体" w:asciiTheme="minorEastAsia" w:hAnsiTheme="minorEastAsia"/>
                <w:bCs/>
                <w:szCs w:val="21"/>
              </w:rPr>
              <w:t>3.切换工艺内容：切换到其他工况</w:t>
            </w:r>
          </w:p>
          <w:p>
            <w:pPr>
              <w:widowControl/>
              <w:spacing w:line="360" w:lineRule="auto"/>
              <w:ind w:firstLine="420" w:firstLineChars="200"/>
              <w:jc w:val="left"/>
              <w:rPr>
                <w:rFonts w:cs="宋体" w:asciiTheme="minorEastAsia" w:hAnsiTheme="minorEastAsia"/>
                <w:bCs/>
                <w:szCs w:val="21"/>
              </w:rPr>
            </w:pPr>
            <w:r>
              <w:rPr>
                <w:rFonts w:hint="eastAsia" w:cs="宋体" w:asciiTheme="minorEastAsia" w:hAnsiTheme="minorEastAsia"/>
                <w:bCs/>
                <w:szCs w:val="21"/>
              </w:rPr>
              <w:t>4.冻结/解冻：在任何时间都可以冻结、解冻、重新运行仿真系统；</w:t>
            </w:r>
          </w:p>
          <w:p>
            <w:pPr>
              <w:widowControl/>
              <w:spacing w:line="360" w:lineRule="auto"/>
              <w:ind w:firstLine="420" w:firstLineChars="200"/>
              <w:jc w:val="left"/>
              <w:rPr>
                <w:rFonts w:cs="宋体" w:asciiTheme="minorEastAsia" w:hAnsiTheme="minorEastAsia"/>
                <w:bCs/>
                <w:szCs w:val="21"/>
              </w:rPr>
            </w:pPr>
            <w:r>
              <w:rPr>
                <w:rFonts w:hint="eastAsia" w:cs="宋体" w:asciiTheme="minorEastAsia" w:hAnsiTheme="minorEastAsia"/>
                <w:bCs/>
                <w:szCs w:val="21"/>
              </w:rPr>
              <w:t>5.进度存盘/重演：实现系统的存储、读取；</w:t>
            </w:r>
          </w:p>
          <w:p>
            <w:pPr>
              <w:widowControl/>
              <w:spacing w:line="360" w:lineRule="auto"/>
              <w:ind w:firstLine="420" w:firstLineChars="200"/>
              <w:jc w:val="left"/>
              <w:rPr>
                <w:rFonts w:cs="宋体" w:asciiTheme="minorEastAsia" w:hAnsiTheme="minorEastAsia"/>
                <w:bCs/>
                <w:szCs w:val="21"/>
              </w:rPr>
            </w:pPr>
            <w:r>
              <w:rPr>
                <w:rFonts w:hint="eastAsia" w:cs="宋体" w:asciiTheme="minorEastAsia" w:hAnsiTheme="minorEastAsia"/>
                <w:bCs/>
                <w:szCs w:val="21"/>
              </w:rPr>
              <w:t>6.变量监视：受训者可监控各种变量数据；</w:t>
            </w:r>
          </w:p>
          <w:p>
            <w:pPr>
              <w:widowControl/>
              <w:spacing w:line="360" w:lineRule="auto"/>
              <w:ind w:firstLine="420" w:firstLineChars="200"/>
              <w:jc w:val="left"/>
              <w:rPr>
                <w:rFonts w:cs="宋体" w:asciiTheme="minorEastAsia" w:hAnsiTheme="minorEastAsia"/>
                <w:bCs/>
                <w:szCs w:val="21"/>
              </w:rPr>
            </w:pPr>
            <w:r>
              <w:rPr>
                <w:rFonts w:hint="eastAsia" w:cs="宋体" w:asciiTheme="minorEastAsia" w:hAnsiTheme="minorEastAsia"/>
                <w:bCs/>
                <w:szCs w:val="21"/>
              </w:rPr>
              <w:t>7.画面显示：包括趋势画面、报警画面、爬山图、流程图、控制组画面等；</w:t>
            </w:r>
          </w:p>
          <w:p>
            <w:pPr>
              <w:widowControl/>
              <w:spacing w:line="360" w:lineRule="auto"/>
              <w:ind w:firstLine="420" w:firstLineChars="200"/>
              <w:jc w:val="left"/>
              <w:rPr>
                <w:rFonts w:cs="宋体" w:asciiTheme="minorEastAsia" w:hAnsiTheme="minorEastAsia"/>
                <w:bCs/>
                <w:szCs w:val="21"/>
              </w:rPr>
            </w:pPr>
            <w:r>
              <w:rPr>
                <w:rFonts w:hint="eastAsia" w:cs="宋体" w:asciiTheme="minorEastAsia" w:hAnsiTheme="minorEastAsia"/>
                <w:bCs/>
                <w:szCs w:val="21"/>
              </w:rPr>
              <w:t>8.仿真时钟设置：根据需要加快或者减慢数据运算的速率，实现在25%—2000% 范围内的无限制调节；</w:t>
            </w:r>
          </w:p>
          <w:p>
            <w:pPr>
              <w:widowControl/>
              <w:spacing w:line="360" w:lineRule="auto"/>
              <w:ind w:firstLine="420" w:firstLineChars="200"/>
              <w:jc w:val="left"/>
              <w:rPr>
                <w:rFonts w:cs="宋体" w:asciiTheme="minorEastAsia" w:hAnsiTheme="minorEastAsia"/>
                <w:bCs/>
                <w:szCs w:val="21"/>
              </w:rPr>
            </w:pPr>
            <w:r>
              <w:rPr>
                <w:rFonts w:hint="eastAsia" w:cs="宋体" w:asciiTheme="minorEastAsia" w:hAnsiTheme="minorEastAsia"/>
                <w:bCs/>
                <w:szCs w:val="21"/>
              </w:rPr>
              <w:t>9.评分自动提示：为方便查看评分步骤，将满足条件的单挑操作步骤显示在小窗口画面，避免在DCS画面与完整评分文件之间频繁切换。评分内容包括工艺指标考核；操作步骤考核；分区、每一个评分指标都可以设置严格起评、终止评定条件；工艺质量参数评定曲线。</w:t>
            </w:r>
          </w:p>
          <w:p>
            <w:pPr>
              <w:widowControl/>
              <w:spacing w:line="360" w:lineRule="auto"/>
              <w:ind w:firstLine="420" w:firstLineChars="200"/>
              <w:jc w:val="left"/>
              <w:rPr>
                <w:rFonts w:cs="宋体" w:asciiTheme="minorEastAsia" w:hAnsiTheme="minorEastAsia"/>
                <w:bCs/>
                <w:szCs w:val="21"/>
              </w:rPr>
            </w:pPr>
            <w:r>
              <w:rPr>
                <w:rFonts w:hint="eastAsia" w:cs="宋体" w:asciiTheme="minorEastAsia" w:hAnsiTheme="minorEastAsia"/>
                <w:bCs/>
                <w:szCs w:val="21"/>
              </w:rPr>
              <w:t>10.多模式功能：具备练习、考核、两种模式，模式的选择通过项目管理工具统一管理。在练习模式下具有实验介绍、实验原理、实验帮助、步骤提示、分数功能；在考试模式下具有学员信息（姓名、学号）、考核时间、剩余时间。</w:t>
            </w:r>
          </w:p>
          <w:p>
            <w:pPr>
              <w:widowControl/>
              <w:spacing w:line="360" w:lineRule="auto"/>
              <w:ind w:firstLine="420" w:firstLineChars="200"/>
              <w:jc w:val="left"/>
              <w:rPr>
                <w:rFonts w:asciiTheme="minorEastAsia" w:hAnsiTheme="minorEastAsia"/>
                <w:szCs w:val="21"/>
              </w:rPr>
            </w:pPr>
            <w:r>
              <w:rPr>
                <w:rFonts w:hint="eastAsia" w:cs="宋体" w:asciiTheme="minorEastAsia" w:hAnsiTheme="minorEastAsia"/>
                <w:bCs/>
                <w:szCs w:val="21"/>
              </w:rPr>
              <w:t>11.和教师站的连接：跟教师站管理端采用TCP/IP方式连接通讯；可设置培训模式，启动后可自由切换培训项目；对模型可进行冻结、解冻、运行、停止等操作；可查看模型变量的相关信息，进行曲线绘制；可保存、重演模型的运行状态；调整仿真时标。</w:t>
            </w:r>
          </w:p>
        </w:tc>
        <w:tc>
          <w:tcPr>
            <w:tcW w:w="851" w:type="dxa"/>
            <w:vMerge w:val="continue"/>
          </w:tcPr>
          <w:p>
            <w:pPr>
              <w:rPr>
                <w:sz w:val="28"/>
                <w:szCs w:val="28"/>
              </w:rPr>
            </w:pPr>
          </w:p>
        </w:tc>
        <w:tc>
          <w:tcPr>
            <w:tcW w:w="850" w:type="dxa"/>
            <w:vMerge w:val="continue"/>
          </w:tcPr>
          <w:p>
            <w:pPr>
              <w:rPr>
                <w:sz w:val="28"/>
                <w:szCs w:val="28"/>
              </w:rPr>
            </w:pPr>
          </w:p>
        </w:tc>
        <w:tc>
          <w:tcPr>
            <w:tcW w:w="851" w:type="dxa"/>
            <w:vMerge w:val="continue"/>
          </w:tcPr>
          <w:p>
            <w:pPr>
              <w:rPr>
                <w:sz w:val="28"/>
                <w:szCs w:val="28"/>
              </w:rPr>
            </w:pPr>
          </w:p>
        </w:tc>
        <w:tc>
          <w:tcPr>
            <w:tcW w:w="1134" w:type="dxa"/>
            <w:vMerge w:val="continue"/>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Merge w:val="continue"/>
          </w:tcPr>
          <w:p>
            <w:pPr>
              <w:rPr>
                <w:rFonts w:asciiTheme="minorEastAsia" w:hAnsiTheme="minorEastAsia"/>
                <w:szCs w:val="21"/>
              </w:rPr>
            </w:pPr>
          </w:p>
        </w:tc>
        <w:tc>
          <w:tcPr>
            <w:tcW w:w="1134" w:type="dxa"/>
            <w:vMerge w:val="continue"/>
          </w:tcPr>
          <w:p>
            <w:pPr>
              <w:rPr>
                <w:rFonts w:asciiTheme="minorEastAsia" w:hAnsiTheme="minorEastAsia"/>
                <w:szCs w:val="21"/>
              </w:rPr>
            </w:pPr>
          </w:p>
        </w:tc>
        <w:tc>
          <w:tcPr>
            <w:tcW w:w="1701" w:type="dxa"/>
            <w:vMerge w:val="continue"/>
          </w:tcPr>
          <w:p>
            <w:pPr>
              <w:widowControl/>
              <w:spacing w:line="360" w:lineRule="auto"/>
              <w:jc w:val="left"/>
              <w:rPr>
                <w:rFonts w:cs="宋体" w:asciiTheme="minorEastAsia" w:hAnsiTheme="minorEastAsia"/>
                <w:bCs/>
                <w:szCs w:val="21"/>
              </w:rPr>
            </w:pPr>
          </w:p>
        </w:tc>
        <w:tc>
          <w:tcPr>
            <w:tcW w:w="7513" w:type="dxa"/>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四、配套资源</w:t>
            </w:r>
          </w:p>
          <w:p>
            <w:pPr>
              <w:widowControl/>
              <w:spacing w:line="360" w:lineRule="auto"/>
              <w:ind w:firstLine="420" w:firstLineChars="200"/>
              <w:jc w:val="left"/>
              <w:rPr>
                <w:rFonts w:cs="宋体" w:asciiTheme="minorEastAsia" w:hAnsiTheme="minorEastAsia"/>
                <w:bCs/>
                <w:szCs w:val="21"/>
              </w:rPr>
            </w:pPr>
            <w:r>
              <w:rPr>
                <w:rFonts w:hint="eastAsia" w:cs="宋体" w:asciiTheme="minorEastAsia" w:hAnsiTheme="minorEastAsia"/>
                <w:bCs/>
                <w:szCs w:val="21"/>
              </w:rPr>
              <w:t>1.化工单元设备素材库：素材库要求至少包含200个知识点，其中，至少100个知识点为动画、视频形式的。</w:t>
            </w:r>
          </w:p>
          <w:p>
            <w:pPr>
              <w:widowControl/>
              <w:spacing w:line="360" w:lineRule="auto"/>
              <w:ind w:firstLine="420" w:firstLineChars="200"/>
              <w:jc w:val="left"/>
              <w:rPr>
                <w:rFonts w:cs="宋体" w:asciiTheme="minorEastAsia" w:hAnsiTheme="minorEastAsia"/>
                <w:bCs/>
                <w:szCs w:val="21"/>
              </w:rPr>
            </w:pPr>
            <w:r>
              <w:rPr>
                <w:rFonts w:hint="eastAsia" w:cs="宋体" w:asciiTheme="minorEastAsia" w:hAnsiTheme="minorEastAsia"/>
                <w:bCs/>
                <w:szCs w:val="21"/>
              </w:rPr>
              <w:t>2.化工单元网络题库：不少于6个题库共计300道试题。要求能够用网络账号在互联网上使用。</w:t>
            </w:r>
          </w:p>
          <w:p>
            <w:pPr>
              <w:widowControl/>
              <w:spacing w:line="360" w:lineRule="auto"/>
              <w:ind w:firstLine="420" w:firstLineChars="200"/>
              <w:jc w:val="left"/>
              <w:rPr>
                <w:rFonts w:cs="宋体" w:asciiTheme="minorEastAsia" w:hAnsiTheme="minorEastAsia"/>
                <w:bCs/>
                <w:szCs w:val="21"/>
              </w:rPr>
            </w:pPr>
            <w:r>
              <w:rPr>
                <w:rFonts w:hint="eastAsia" w:cs="宋体" w:asciiTheme="minorEastAsia" w:hAnsiTheme="minorEastAsia"/>
                <w:bCs/>
                <w:szCs w:val="21"/>
              </w:rPr>
              <w:t>3.化工单元网络配套教学资源：要求在互联网上使用，并配套相关的教学资源。该资源要求是实验原理的讲解和实验设备的操作流程演示视频以及相关的PPT等。配套教学资源如下表：</w:t>
            </w:r>
          </w:p>
          <w:tbl>
            <w:tblPr>
              <w:tblStyle w:val="3"/>
              <w:tblW w:w="70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3102"/>
              <w:gridCol w:w="1150"/>
              <w:gridCol w:w="1118"/>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88"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序号</w:t>
                  </w:r>
                </w:p>
              </w:tc>
              <w:tc>
                <w:tcPr>
                  <w:tcW w:w="3102"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单元名称</w:t>
                  </w:r>
                </w:p>
              </w:tc>
              <w:tc>
                <w:tcPr>
                  <w:tcW w:w="1150"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教师授课</w:t>
                  </w:r>
                </w:p>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PPT</w:t>
                  </w:r>
                </w:p>
              </w:tc>
              <w:tc>
                <w:tcPr>
                  <w:tcW w:w="1118"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名师授课</w:t>
                  </w:r>
                </w:p>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视频</w:t>
                  </w:r>
                </w:p>
              </w:tc>
              <w:tc>
                <w:tcPr>
                  <w:tcW w:w="1178"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仿真软件</w:t>
                  </w:r>
                </w:p>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操作视频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88"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1</w:t>
                  </w:r>
                </w:p>
              </w:tc>
              <w:tc>
                <w:tcPr>
                  <w:tcW w:w="3102"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CO2压缩机工艺3D仿真软件</w:t>
                  </w:r>
                </w:p>
              </w:tc>
              <w:tc>
                <w:tcPr>
                  <w:tcW w:w="1150"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c>
                <w:tcPr>
                  <w:tcW w:w="1118"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c>
                <w:tcPr>
                  <w:tcW w:w="1178"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88"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2</w:t>
                  </w:r>
                </w:p>
              </w:tc>
              <w:tc>
                <w:tcPr>
                  <w:tcW w:w="3102"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固定床反应器工艺3D仿真软件</w:t>
                  </w:r>
                </w:p>
              </w:tc>
              <w:tc>
                <w:tcPr>
                  <w:tcW w:w="1150"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c>
                <w:tcPr>
                  <w:tcW w:w="1118"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c>
                <w:tcPr>
                  <w:tcW w:w="1178"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88"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3</w:t>
                  </w:r>
                </w:p>
              </w:tc>
              <w:tc>
                <w:tcPr>
                  <w:tcW w:w="3102"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管式加热炉单元3D虚拟现实仿真软件</w:t>
                  </w:r>
                </w:p>
              </w:tc>
              <w:tc>
                <w:tcPr>
                  <w:tcW w:w="1150"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c>
                <w:tcPr>
                  <w:tcW w:w="1118"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c>
                <w:tcPr>
                  <w:tcW w:w="1178"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88"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4</w:t>
                  </w:r>
                </w:p>
              </w:tc>
              <w:tc>
                <w:tcPr>
                  <w:tcW w:w="3102"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间歇釜反应单元3D虚拟现实仿真软件</w:t>
                  </w:r>
                </w:p>
              </w:tc>
              <w:tc>
                <w:tcPr>
                  <w:tcW w:w="1150"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c>
                <w:tcPr>
                  <w:tcW w:w="1118"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c>
                <w:tcPr>
                  <w:tcW w:w="1178"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88"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5</w:t>
                  </w:r>
                </w:p>
              </w:tc>
              <w:tc>
                <w:tcPr>
                  <w:tcW w:w="3102"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精馏塔单元3D虚拟现实仿真软件</w:t>
                  </w:r>
                </w:p>
              </w:tc>
              <w:tc>
                <w:tcPr>
                  <w:tcW w:w="1150"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c>
                <w:tcPr>
                  <w:tcW w:w="1118"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c>
                <w:tcPr>
                  <w:tcW w:w="1178"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488"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6</w:t>
                  </w:r>
                </w:p>
              </w:tc>
              <w:tc>
                <w:tcPr>
                  <w:tcW w:w="3102"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吸收-解吸工艺3D仿真软件</w:t>
                  </w:r>
                </w:p>
              </w:tc>
              <w:tc>
                <w:tcPr>
                  <w:tcW w:w="1150"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c>
                <w:tcPr>
                  <w:tcW w:w="1118" w:type="dxa"/>
                  <w:shd w:val="clear" w:color="auto" w:fill="auto"/>
                  <w:vAlign w:val="center"/>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c>
                <w:tcPr>
                  <w:tcW w:w="1178"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w:t>
                  </w:r>
                </w:p>
              </w:tc>
            </w:tr>
          </w:tbl>
          <w:p>
            <w:pPr>
              <w:widowControl/>
              <w:spacing w:line="360" w:lineRule="auto"/>
              <w:jc w:val="left"/>
              <w:rPr>
                <w:rFonts w:cs="宋体" w:asciiTheme="minorEastAsia" w:hAnsiTheme="minorEastAsia"/>
                <w:bCs/>
                <w:szCs w:val="21"/>
              </w:rPr>
            </w:pPr>
          </w:p>
        </w:tc>
        <w:tc>
          <w:tcPr>
            <w:tcW w:w="851" w:type="dxa"/>
            <w:vMerge w:val="continue"/>
          </w:tcPr>
          <w:p>
            <w:pPr>
              <w:rPr>
                <w:sz w:val="28"/>
                <w:szCs w:val="28"/>
              </w:rPr>
            </w:pPr>
          </w:p>
        </w:tc>
        <w:tc>
          <w:tcPr>
            <w:tcW w:w="850" w:type="dxa"/>
            <w:vMerge w:val="continue"/>
          </w:tcPr>
          <w:p>
            <w:pPr>
              <w:rPr>
                <w:sz w:val="28"/>
                <w:szCs w:val="28"/>
              </w:rPr>
            </w:pPr>
          </w:p>
        </w:tc>
        <w:tc>
          <w:tcPr>
            <w:tcW w:w="851" w:type="dxa"/>
            <w:vMerge w:val="continue"/>
          </w:tcPr>
          <w:p>
            <w:pPr>
              <w:rPr>
                <w:sz w:val="28"/>
                <w:szCs w:val="28"/>
              </w:rPr>
            </w:pPr>
          </w:p>
        </w:tc>
        <w:tc>
          <w:tcPr>
            <w:tcW w:w="1134" w:type="dxa"/>
            <w:vMerge w:val="continue"/>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Merge w:val="continue"/>
          </w:tcPr>
          <w:p>
            <w:pPr>
              <w:rPr>
                <w:rFonts w:asciiTheme="minorEastAsia" w:hAnsiTheme="minorEastAsia"/>
                <w:szCs w:val="21"/>
              </w:rPr>
            </w:pPr>
          </w:p>
        </w:tc>
        <w:tc>
          <w:tcPr>
            <w:tcW w:w="1134" w:type="dxa"/>
            <w:vMerge w:val="continue"/>
          </w:tcPr>
          <w:p>
            <w:pPr>
              <w:rPr>
                <w:rFonts w:asciiTheme="minorEastAsia" w:hAnsiTheme="minorEastAsia"/>
                <w:szCs w:val="21"/>
              </w:rPr>
            </w:pPr>
          </w:p>
        </w:tc>
        <w:tc>
          <w:tcPr>
            <w:tcW w:w="1701" w:type="dxa"/>
            <w:vMerge w:val="continue"/>
          </w:tcPr>
          <w:p>
            <w:pPr>
              <w:widowControl/>
              <w:spacing w:line="360" w:lineRule="auto"/>
              <w:jc w:val="left"/>
              <w:rPr>
                <w:rFonts w:cs="宋体" w:asciiTheme="minorEastAsia" w:hAnsiTheme="minorEastAsia"/>
                <w:bCs/>
                <w:szCs w:val="21"/>
              </w:rPr>
            </w:pPr>
          </w:p>
        </w:tc>
        <w:tc>
          <w:tcPr>
            <w:tcW w:w="7513" w:type="dxa"/>
          </w:tcPr>
          <w:p>
            <w:pPr>
              <w:widowControl/>
              <w:spacing w:line="360" w:lineRule="auto"/>
              <w:jc w:val="left"/>
              <w:rPr>
                <w:rFonts w:cs="宋体" w:asciiTheme="minorEastAsia" w:hAnsiTheme="minorEastAsia"/>
                <w:b/>
                <w:bCs/>
                <w:szCs w:val="21"/>
              </w:rPr>
            </w:pPr>
            <w:r>
              <w:rPr>
                <w:rFonts w:hint="eastAsia" w:cs="宋体" w:asciiTheme="minorEastAsia" w:hAnsiTheme="minorEastAsia"/>
                <w:b/>
                <w:bCs/>
                <w:szCs w:val="21"/>
              </w:rPr>
              <w:t>五、DCS表现形式</w:t>
            </w:r>
          </w:p>
          <w:p>
            <w:pPr>
              <w:widowControl/>
              <w:spacing w:line="360" w:lineRule="auto"/>
              <w:ind w:firstLine="420" w:firstLineChars="200"/>
              <w:jc w:val="left"/>
              <w:rPr>
                <w:rFonts w:cs="宋体" w:asciiTheme="minorEastAsia" w:hAnsiTheme="minorEastAsia"/>
                <w:bCs/>
                <w:szCs w:val="21"/>
              </w:rPr>
            </w:pPr>
            <w:r>
              <w:rPr>
                <w:rFonts w:hint="eastAsia" w:cs="宋体" w:asciiTheme="minorEastAsia" w:hAnsiTheme="minorEastAsia"/>
                <w:bCs/>
                <w:szCs w:val="21"/>
              </w:rPr>
              <w:t>可模拟以下主流自控厂商的DCS风格：</w:t>
            </w:r>
          </w:p>
          <w:tbl>
            <w:tblPr>
              <w:tblStyle w:val="3"/>
              <w:tblW w:w="5836" w:type="dxa"/>
              <w:jc w:val="center"/>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4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jc w:val="center"/>
              </w:trPr>
              <w:tc>
                <w:tcPr>
                  <w:tcW w:w="1103"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序号</w:t>
                  </w:r>
                </w:p>
              </w:tc>
              <w:tc>
                <w:tcPr>
                  <w:tcW w:w="4733"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DCS风格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jc w:val="center"/>
              </w:trPr>
              <w:tc>
                <w:tcPr>
                  <w:tcW w:w="1103"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1</w:t>
                  </w:r>
                </w:p>
              </w:tc>
              <w:tc>
                <w:tcPr>
                  <w:tcW w:w="4733" w:type="dxa"/>
                  <w:shd w:val="clear" w:color="auto" w:fill="auto"/>
                </w:tcPr>
                <w:p>
                  <w:pPr>
                    <w:widowControl/>
                    <w:spacing w:line="360" w:lineRule="auto"/>
                    <w:jc w:val="left"/>
                    <w:rPr>
                      <w:rFonts w:cs="宋体" w:asciiTheme="minorEastAsia" w:hAnsiTheme="minorEastAsia"/>
                      <w:bCs/>
                      <w:szCs w:val="21"/>
                    </w:rPr>
                  </w:pPr>
                  <w:r>
                    <w:rPr>
                      <w:rFonts w:cs="宋体" w:asciiTheme="minorEastAsia" w:hAnsiTheme="minorEastAsia"/>
                      <w:bCs/>
                      <w:szCs w:val="21"/>
                    </w:rPr>
                    <w:t>通用DCS2005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jc w:val="center"/>
              </w:trPr>
              <w:tc>
                <w:tcPr>
                  <w:tcW w:w="1103"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2</w:t>
                  </w:r>
                </w:p>
              </w:tc>
              <w:tc>
                <w:tcPr>
                  <w:tcW w:w="4733" w:type="dxa"/>
                  <w:shd w:val="clear" w:color="auto" w:fill="auto"/>
                </w:tcPr>
                <w:p>
                  <w:pPr>
                    <w:widowControl/>
                    <w:spacing w:line="360" w:lineRule="auto"/>
                    <w:jc w:val="left"/>
                    <w:rPr>
                      <w:rFonts w:cs="宋体" w:asciiTheme="minorEastAsia" w:hAnsiTheme="minorEastAsia"/>
                      <w:bCs/>
                      <w:szCs w:val="21"/>
                    </w:rPr>
                  </w:pPr>
                  <w:r>
                    <w:rPr>
                      <w:rFonts w:cs="宋体" w:asciiTheme="minorEastAsia" w:hAnsiTheme="minorEastAsia"/>
                      <w:bCs/>
                      <w:szCs w:val="21"/>
                    </w:rPr>
                    <w:t>IA（foxbroo英维斯）；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jc w:val="center"/>
              </w:trPr>
              <w:tc>
                <w:tcPr>
                  <w:tcW w:w="1103"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3</w:t>
                  </w:r>
                </w:p>
              </w:tc>
              <w:tc>
                <w:tcPr>
                  <w:tcW w:w="4733" w:type="dxa"/>
                  <w:shd w:val="clear" w:color="auto" w:fill="auto"/>
                </w:tcPr>
                <w:p>
                  <w:pPr>
                    <w:widowControl/>
                    <w:spacing w:line="360" w:lineRule="auto"/>
                    <w:jc w:val="left"/>
                    <w:rPr>
                      <w:rFonts w:cs="宋体" w:asciiTheme="minorEastAsia" w:hAnsiTheme="minorEastAsia"/>
                      <w:bCs/>
                      <w:szCs w:val="21"/>
                    </w:rPr>
                  </w:pPr>
                  <w:r>
                    <w:rPr>
                      <w:rFonts w:cs="宋体" w:asciiTheme="minorEastAsia" w:hAnsiTheme="minorEastAsia"/>
                      <w:bCs/>
                      <w:szCs w:val="21"/>
                    </w:rPr>
                    <w:t>cs3000（横河）；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jc w:val="center"/>
              </w:trPr>
              <w:tc>
                <w:tcPr>
                  <w:tcW w:w="1103" w:type="dxa"/>
                  <w:shd w:val="clear" w:color="auto" w:fill="auto"/>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4</w:t>
                  </w:r>
                </w:p>
              </w:tc>
              <w:tc>
                <w:tcPr>
                  <w:tcW w:w="4733" w:type="dxa"/>
                  <w:shd w:val="clear" w:color="auto" w:fill="auto"/>
                </w:tcPr>
                <w:p>
                  <w:pPr>
                    <w:widowControl/>
                    <w:spacing w:line="360" w:lineRule="auto"/>
                    <w:jc w:val="left"/>
                    <w:rPr>
                      <w:rFonts w:cs="宋体" w:asciiTheme="minorEastAsia" w:hAnsiTheme="minorEastAsia"/>
                      <w:bCs/>
                      <w:szCs w:val="21"/>
                    </w:rPr>
                  </w:pPr>
                  <w:r>
                    <w:rPr>
                      <w:rFonts w:cs="宋体" w:asciiTheme="minorEastAsia" w:hAnsiTheme="minorEastAsia"/>
                      <w:bCs/>
                      <w:szCs w:val="21"/>
                    </w:rPr>
                    <w:t>TDC3000(honeywell)；</w:t>
                  </w:r>
                </w:p>
              </w:tc>
            </w:tr>
          </w:tbl>
          <w:p>
            <w:pPr>
              <w:widowControl/>
              <w:spacing w:line="360" w:lineRule="auto"/>
              <w:jc w:val="left"/>
              <w:rPr>
                <w:rFonts w:cs="宋体" w:asciiTheme="minorEastAsia" w:hAnsiTheme="minorEastAsia"/>
                <w:bCs/>
                <w:szCs w:val="21"/>
              </w:rPr>
            </w:pPr>
          </w:p>
        </w:tc>
        <w:tc>
          <w:tcPr>
            <w:tcW w:w="851" w:type="dxa"/>
            <w:vMerge w:val="continue"/>
          </w:tcPr>
          <w:p>
            <w:pPr>
              <w:rPr>
                <w:sz w:val="28"/>
                <w:szCs w:val="28"/>
              </w:rPr>
            </w:pPr>
          </w:p>
        </w:tc>
        <w:tc>
          <w:tcPr>
            <w:tcW w:w="850" w:type="dxa"/>
            <w:vMerge w:val="continue"/>
          </w:tcPr>
          <w:p>
            <w:pPr>
              <w:rPr>
                <w:sz w:val="28"/>
                <w:szCs w:val="28"/>
              </w:rPr>
            </w:pPr>
          </w:p>
        </w:tc>
        <w:tc>
          <w:tcPr>
            <w:tcW w:w="851" w:type="dxa"/>
            <w:vMerge w:val="continue"/>
          </w:tcPr>
          <w:p>
            <w:pPr>
              <w:rPr>
                <w:sz w:val="28"/>
                <w:szCs w:val="28"/>
              </w:rPr>
            </w:pPr>
          </w:p>
        </w:tc>
        <w:tc>
          <w:tcPr>
            <w:tcW w:w="1134" w:type="dxa"/>
            <w:vMerge w:val="continue"/>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Merge w:val="continue"/>
          </w:tcPr>
          <w:p>
            <w:pPr>
              <w:rPr>
                <w:rFonts w:asciiTheme="minorEastAsia" w:hAnsiTheme="minorEastAsia"/>
                <w:szCs w:val="21"/>
              </w:rPr>
            </w:pPr>
          </w:p>
        </w:tc>
        <w:tc>
          <w:tcPr>
            <w:tcW w:w="1134" w:type="dxa"/>
            <w:vMerge w:val="continue"/>
          </w:tcPr>
          <w:p>
            <w:pPr>
              <w:rPr>
                <w:rFonts w:asciiTheme="minorEastAsia" w:hAnsiTheme="minorEastAsia"/>
                <w:szCs w:val="21"/>
              </w:rPr>
            </w:pPr>
          </w:p>
        </w:tc>
        <w:tc>
          <w:tcPr>
            <w:tcW w:w="1701" w:type="dxa"/>
            <w:vMerge w:val="continue"/>
          </w:tcPr>
          <w:p>
            <w:pPr>
              <w:widowControl/>
              <w:spacing w:line="360" w:lineRule="auto"/>
              <w:jc w:val="left"/>
              <w:rPr>
                <w:rFonts w:cs="宋体" w:asciiTheme="minorEastAsia" w:hAnsiTheme="minorEastAsia"/>
                <w:bCs/>
                <w:szCs w:val="21"/>
              </w:rPr>
            </w:pPr>
          </w:p>
        </w:tc>
        <w:tc>
          <w:tcPr>
            <w:tcW w:w="7513" w:type="dxa"/>
          </w:tcPr>
          <w:p>
            <w:pPr>
              <w:widowControl/>
              <w:spacing w:line="360" w:lineRule="auto"/>
              <w:jc w:val="left"/>
              <w:rPr>
                <w:rFonts w:cs="宋体" w:asciiTheme="minorEastAsia" w:hAnsiTheme="minorEastAsia"/>
                <w:b/>
                <w:bCs/>
                <w:szCs w:val="21"/>
              </w:rPr>
            </w:pPr>
            <w:r>
              <w:rPr>
                <w:rFonts w:hint="eastAsia" w:cs="宋体" w:asciiTheme="minorEastAsia" w:hAnsiTheme="minorEastAsia"/>
                <w:b/>
                <w:bCs/>
                <w:szCs w:val="21"/>
              </w:rPr>
              <w:t>六、培训系统配件清单：</w:t>
            </w:r>
          </w:p>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模型运行客户端（1套各50站点）、教师站（1套）、智能评分系统（1套）、硬件加密锁（2套）、安装光盘（1套）、仿真操作手册（1套）、互联网运行账号（1套）、化工单元设备素材库（1套）、化工单元网络题库（1套）、化工单元配套网络教学资源库（1套）。</w:t>
            </w:r>
          </w:p>
        </w:tc>
        <w:tc>
          <w:tcPr>
            <w:tcW w:w="851" w:type="dxa"/>
            <w:vMerge w:val="continue"/>
          </w:tcPr>
          <w:p>
            <w:pPr>
              <w:rPr>
                <w:sz w:val="28"/>
                <w:szCs w:val="28"/>
              </w:rPr>
            </w:pPr>
          </w:p>
        </w:tc>
        <w:tc>
          <w:tcPr>
            <w:tcW w:w="850" w:type="dxa"/>
            <w:vMerge w:val="continue"/>
          </w:tcPr>
          <w:p>
            <w:pPr>
              <w:rPr>
                <w:sz w:val="28"/>
                <w:szCs w:val="28"/>
              </w:rPr>
            </w:pPr>
          </w:p>
        </w:tc>
        <w:tc>
          <w:tcPr>
            <w:tcW w:w="851" w:type="dxa"/>
            <w:vMerge w:val="continue"/>
          </w:tcPr>
          <w:p>
            <w:pPr>
              <w:rPr>
                <w:sz w:val="28"/>
                <w:szCs w:val="28"/>
              </w:rPr>
            </w:pPr>
          </w:p>
        </w:tc>
        <w:tc>
          <w:tcPr>
            <w:tcW w:w="1134" w:type="dxa"/>
            <w:vMerge w:val="continue"/>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Merge w:val="continue"/>
          </w:tcPr>
          <w:p>
            <w:pPr>
              <w:rPr>
                <w:rFonts w:asciiTheme="minorEastAsia" w:hAnsiTheme="minorEastAsia"/>
                <w:szCs w:val="21"/>
              </w:rPr>
            </w:pPr>
          </w:p>
        </w:tc>
        <w:tc>
          <w:tcPr>
            <w:tcW w:w="1134" w:type="dxa"/>
            <w:vMerge w:val="continue"/>
          </w:tcPr>
          <w:p>
            <w:pPr>
              <w:rPr>
                <w:rFonts w:asciiTheme="minorEastAsia" w:hAnsiTheme="minorEastAsia"/>
                <w:szCs w:val="21"/>
              </w:rPr>
            </w:pPr>
          </w:p>
        </w:tc>
        <w:tc>
          <w:tcPr>
            <w:tcW w:w="1701" w:type="dxa"/>
            <w:vMerge w:val="continue"/>
          </w:tcPr>
          <w:p>
            <w:pPr>
              <w:widowControl/>
              <w:spacing w:line="360" w:lineRule="auto"/>
              <w:jc w:val="left"/>
              <w:rPr>
                <w:rFonts w:cs="宋体" w:asciiTheme="minorEastAsia" w:hAnsiTheme="minorEastAsia"/>
                <w:bCs/>
                <w:szCs w:val="21"/>
              </w:rPr>
            </w:pPr>
          </w:p>
        </w:tc>
        <w:tc>
          <w:tcPr>
            <w:tcW w:w="7513" w:type="dxa"/>
          </w:tcPr>
          <w:p>
            <w:pPr>
              <w:widowControl/>
              <w:spacing w:line="360" w:lineRule="auto"/>
              <w:jc w:val="left"/>
              <w:rPr>
                <w:rFonts w:cs="宋体" w:asciiTheme="minorEastAsia" w:hAnsiTheme="minorEastAsia"/>
                <w:bCs/>
                <w:szCs w:val="21"/>
              </w:rPr>
            </w:pPr>
            <w:r>
              <w:rPr>
                <w:rFonts w:hint="eastAsia" w:cs="宋体" w:asciiTheme="minorEastAsia" w:hAnsiTheme="minorEastAsia"/>
                <w:bCs/>
                <w:szCs w:val="21"/>
              </w:rPr>
              <w:t>★1.需提供上述所有项目3D仿真软件截图</w:t>
            </w:r>
          </w:p>
        </w:tc>
        <w:tc>
          <w:tcPr>
            <w:tcW w:w="851" w:type="dxa"/>
            <w:vMerge w:val="continue"/>
          </w:tcPr>
          <w:p>
            <w:pPr>
              <w:rPr>
                <w:sz w:val="28"/>
                <w:szCs w:val="28"/>
              </w:rPr>
            </w:pPr>
          </w:p>
        </w:tc>
        <w:tc>
          <w:tcPr>
            <w:tcW w:w="850" w:type="dxa"/>
            <w:vMerge w:val="continue"/>
          </w:tcPr>
          <w:p>
            <w:pPr>
              <w:rPr>
                <w:sz w:val="28"/>
                <w:szCs w:val="28"/>
              </w:rPr>
            </w:pPr>
          </w:p>
        </w:tc>
        <w:tc>
          <w:tcPr>
            <w:tcW w:w="851" w:type="dxa"/>
            <w:vMerge w:val="continue"/>
          </w:tcPr>
          <w:p>
            <w:pPr>
              <w:rPr>
                <w:sz w:val="28"/>
                <w:szCs w:val="28"/>
              </w:rPr>
            </w:pPr>
          </w:p>
        </w:tc>
        <w:tc>
          <w:tcPr>
            <w:tcW w:w="1134" w:type="dxa"/>
            <w:vMerge w:val="continue"/>
          </w:tcPr>
          <w:p>
            <w:pPr>
              <w:rPr>
                <w:sz w:val="28"/>
                <w:szCs w:val="28"/>
              </w:rPr>
            </w:pPr>
          </w:p>
        </w:tc>
      </w:tr>
    </w:tbl>
    <w:p/>
    <w:p/>
    <w:p/>
    <w:p>
      <w:pPr>
        <w:jc w:val="center"/>
        <w:rPr>
          <w:rFonts w:hint="eastAsia"/>
          <w:sz w:val="44"/>
          <w:szCs w:val="44"/>
        </w:rPr>
      </w:pPr>
    </w:p>
    <w:p>
      <w:pPr>
        <w:jc w:val="center"/>
        <w:rPr>
          <w:sz w:val="44"/>
          <w:szCs w:val="44"/>
        </w:rPr>
      </w:pPr>
    </w:p>
    <w:p>
      <w:bookmarkStart w:id="1" w:name="_GoBack"/>
      <w:bookmarkEnd w:id="1"/>
    </w:p>
    <w:sectPr>
      <w:pgSz w:w="16838" w:h="11906" w:orient="landscape"/>
      <w:pgMar w:top="1247" w:right="1134" w:bottom="130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alibri Light">
    <w:altName w:val="Calibri"/>
    <w:panose1 w:val="020F0302020204030204"/>
    <w:charset w:val="00"/>
    <w:family w:val="swiss"/>
    <w:pitch w:val="default"/>
    <w:sig w:usb0="00000000"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742FBF"/>
    <w:multiLevelType w:val="multilevel"/>
    <w:tmpl w:val="7C742FB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E33"/>
    <w:rsid w:val="00012008"/>
    <w:rsid w:val="000262E6"/>
    <w:rsid w:val="00043EBD"/>
    <w:rsid w:val="00047483"/>
    <w:rsid w:val="00051AA9"/>
    <w:rsid w:val="00053D6A"/>
    <w:rsid w:val="000544BE"/>
    <w:rsid w:val="00060C36"/>
    <w:rsid w:val="00061B83"/>
    <w:rsid w:val="000645D5"/>
    <w:rsid w:val="00067420"/>
    <w:rsid w:val="000827F9"/>
    <w:rsid w:val="000B3447"/>
    <w:rsid w:val="000B63FB"/>
    <w:rsid w:val="000C5F9D"/>
    <w:rsid w:val="000D08EA"/>
    <w:rsid w:val="000D0FF6"/>
    <w:rsid w:val="000F7216"/>
    <w:rsid w:val="00110B70"/>
    <w:rsid w:val="001160A8"/>
    <w:rsid w:val="001204AD"/>
    <w:rsid w:val="0013046A"/>
    <w:rsid w:val="00133E39"/>
    <w:rsid w:val="001440F3"/>
    <w:rsid w:val="00154397"/>
    <w:rsid w:val="001560BA"/>
    <w:rsid w:val="00160ACF"/>
    <w:rsid w:val="00171AB7"/>
    <w:rsid w:val="00174AEF"/>
    <w:rsid w:val="00176663"/>
    <w:rsid w:val="00186DE1"/>
    <w:rsid w:val="00187AD0"/>
    <w:rsid w:val="00190024"/>
    <w:rsid w:val="001946C4"/>
    <w:rsid w:val="001A040A"/>
    <w:rsid w:val="001B6EF9"/>
    <w:rsid w:val="001C4E66"/>
    <w:rsid w:val="001D7051"/>
    <w:rsid w:val="001E7BC9"/>
    <w:rsid w:val="00207654"/>
    <w:rsid w:val="00212B72"/>
    <w:rsid w:val="00220E8A"/>
    <w:rsid w:val="00237C19"/>
    <w:rsid w:val="00237D39"/>
    <w:rsid w:val="00240580"/>
    <w:rsid w:val="00253AB4"/>
    <w:rsid w:val="00254ED7"/>
    <w:rsid w:val="00272229"/>
    <w:rsid w:val="00273E9D"/>
    <w:rsid w:val="00287624"/>
    <w:rsid w:val="002B46E3"/>
    <w:rsid w:val="002B5C7A"/>
    <w:rsid w:val="002B6062"/>
    <w:rsid w:val="002B763D"/>
    <w:rsid w:val="002C2A09"/>
    <w:rsid w:val="002D16B4"/>
    <w:rsid w:val="002D16EA"/>
    <w:rsid w:val="002D33A0"/>
    <w:rsid w:val="002D5632"/>
    <w:rsid w:val="002E0836"/>
    <w:rsid w:val="002F21F2"/>
    <w:rsid w:val="002F2A04"/>
    <w:rsid w:val="002F512D"/>
    <w:rsid w:val="0030614D"/>
    <w:rsid w:val="00313AAA"/>
    <w:rsid w:val="003237AE"/>
    <w:rsid w:val="0032445F"/>
    <w:rsid w:val="00330960"/>
    <w:rsid w:val="003551FD"/>
    <w:rsid w:val="003624DE"/>
    <w:rsid w:val="00366F34"/>
    <w:rsid w:val="00382B6E"/>
    <w:rsid w:val="003905AD"/>
    <w:rsid w:val="00393D02"/>
    <w:rsid w:val="00396C4B"/>
    <w:rsid w:val="003A0FEF"/>
    <w:rsid w:val="003A5677"/>
    <w:rsid w:val="003A6974"/>
    <w:rsid w:val="003C0122"/>
    <w:rsid w:val="003C0A7D"/>
    <w:rsid w:val="003C1B49"/>
    <w:rsid w:val="003C2C64"/>
    <w:rsid w:val="003E2206"/>
    <w:rsid w:val="003E4EDC"/>
    <w:rsid w:val="003E769B"/>
    <w:rsid w:val="003E7D49"/>
    <w:rsid w:val="003F4A3F"/>
    <w:rsid w:val="003F72F1"/>
    <w:rsid w:val="003F77F5"/>
    <w:rsid w:val="00406766"/>
    <w:rsid w:val="0042377F"/>
    <w:rsid w:val="0043261F"/>
    <w:rsid w:val="004449B0"/>
    <w:rsid w:val="0045625D"/>
    <w:rsid w:val="00494F28"/>
    <w:rsid w:val="004A57D9"/>
    <w:rsid w:val="004C1840"/>
    <w:rsid w:val="004D2D4D"/>
    <w:rsid w:val="004D5D94"/>
    <w:rsid w:val="004E38AD"/>
    <w:rsid w:val="004E5A94"/>
    <w:rsid w:val="004F1DD7"/>
    <w:rsid w:val="004F337D"/>
    <w:rsid w:val="004F77C0"/>
    <w:rsid w:val="005248A3"/>
    <w:rsid w:val="00533782"/>
    <w:rsid w:val="0053391C"/>
    <w:rsid w:val="005358F9"/>
    <w:rsid w:val="00536BAD"/>
    <w:rsid w:val="00537E52"/>
    <w:rsid w:val="00537E7E"/>
    <w:rsid w:val="005438E8"/>
    <w:rsid w:val="00554816"/>
    <w:rsid w:val="00567EE5"/>
    <w:rsid w:val="00572A37"/>
    <w:rsid w:val="00586B88"/>
    <w:rsid w:val="0058778C"/>
    <w:rsid w:val="00597975"/>
    <w:rsid w:val="005A43C9"/>
    <w:rsid w:val="005A6BBC"/>
    <w:rsid w:val="005A6F4B"/>
    <w:rsid w:val="005C19B2"/>
    <w:rsid w:val="0060262F"/>
    <w:rsid w:val="00612C3D"/>
    <w:rsid w:val="00650EB7"/>
    <w:rsid w:val="00655A7D"/>
    <w:rsid w:val="00663286"/>
    <w:rsid w:val="00665C2F"/>
    <w:rsid w:val="006671B5"/>
    <w:rsid w:val="00677BF2"/>
    <w:rsid w:val="006955A8"/>
    <w:rsid w:val="00697B62"/>
    <w:rsid w:val="006A6B8A"/>
    <w:rsid w:val="006B2EAF"/>
    <w:rsid w:val="006D27D6"/>
    <w:rsid w:val="00704119"/>
    <w:rsid w:val="0070452E"/>
    <w:rsid w:val="007244F4"/>
    <w:rsid w:val="007268C1"/>
    <w:rsid w:val="007376D5"/>
    <w:rsid w:val="0074133F"/>
    <w:rsid w:val="00745B29"/>
    <w:rsid w:val="007461BC"/>
    <w:rsid w:val="00747769"/>
    <w:rsid w:val="007607A1"/>
    <w:rsid w:val="007668C2"/>
    <w:rsid w:val="00770766"/>
    <w:rsid w:val="00791E8D"/>
    <w:rsid w:val="00792DE2"/>
    <w:rsid w:val="007959A1"/>
    <w:rsid w:val="007B79B7"/>
    <w:rsid w:val="007C199C"/>
    <w:rsid w:val="007E0E8B"/>
    <w:rsid w:val="007E6363"/>
    <w:rsid w:val="007F318D"/>
    <w:rsid w:val="007F7032"/>
    <w:rsid w:val="00801DE0"/>
    <w:rsid w:val="00802016"/>
    <w:rsid w:val="00821512"/>
    <w:rsid w:val="00836354"/>
    <w:rsid w:val="00837B9C"/>
    <w:rsid w:val="00847EC2"/>
    <w:rsid w:val="00860401"/>
    <w:rsid w:val="008800E7"/>
    <w:rsid w:val="0089527B"/>
    <w:rsid w:val="008A121C"/>
    <w:rsid w:val="008C5C6B"/>
    <w:rsid w:val="008C639F"/>
    <w:rsid w:val="008D3601"/>
    <w:rsid w:val="008E1847"/>
    <w:rsid w:val="00904740"/>
    <w:rsid w:val="00904B8E"/>
    <w:rsid w:val="00924828"/>
    <w:rsid w:val="00932AD2"/>
    <w:rsid w:val="009834A0"/>
    <w:rsid w:val="00986D74"/>
    <w:rsid w:val="00986E33"/>
    <w:rsid w:val="0099558B"/>
    <w:rsid w:val="009A258C"/>
    <w:rsid w:val="009B1583"/>
    <w:rsid w:val="009B275A"/>
    <w:rsid w:val="009C4F05"/>
    <w:rsid w:val="009D0B70"/>
    <w:rsid w:val="009F5366"/>
    <w:rsid w:val="009F667B"/>
    <w:rsid w:val="00A02D63"/>
    <w:rsid w:val="00A34CA6"/>
    <w:rsid w:val="00A45875"/>
    <w:rsid w:val="00A5792F"/>
    <w:rsid w:val="00A61810"/>
    <w:rsid w:val="00A6633B"/>
    <w:rsid w:val="00A66820"/>
    <w:rsid w:val="00A877DD"/>
    <w:rsid w:val="00A923D9"/>
    <w:rsid w:val="00AB3AA5"/>
    <w:rsid w:val="00AB3C7C"/>
    <w:rsid w:val="00AB5B11"/>
    <w:rsid w:val="00AE70B1"/>
    <w:rsid w:val="00AE78CF"/>
    <w:rsid w:val="00AF6820"/>
    <w:rsid w:val="00B02156"/>
    <w:rsid w:val="00B049A7"/>
    <w:rsid w:val="00B0633D"/>
    <w:rsid w:val="00B13480"/>
    <w:rsid w:val="00B16A33"/>
    <w:rsid w:val="00B27FFE"/>
    <w:rsid w:val="00B301F5"/>
    <w:rsid w:val="00B60A5D"/>
    <w:rsid w:val="00B645F7"/>
    <w:rsid w:val="00B7115D"/>
    <w:rsid w:val="00B921A1"/>
    <w:rsid w:val="00BA4404"/>
    <w:rsid w:val="00BB5D39"/>
    <w:rsid w:val="00BC47B8"/>
    <w:rsid w:val="00BC6D7D"/>
    <w:rsid w:val="00BC6EDD"/>
    <w:rsid w:val="00BD68F3"/>
    <w:rsid w:val="00BE535B"/>
    <w:rsid w:val="00BE6869"/>
    <w:rsid w:val="00C02C8C"/>
    <w:rsid w:val="00C05DD9"/>
    <w:rsid w:val="00C233CA"/>
    <w:rsid w:val="00C250D6"/>
    <w:rsid w:val="00C26661"/>
    <w:rsid w:val="00C32D39"/>
    <w:rsid w:val="00C33E47"/>
    <w:rsid w:val="00C3582E"/>
    <w:rsid w:val="00C40F01"/>
    <w:rsid w:val="00C40FB4"/>
    <w:rsid w:val="00C42C65"/>
    <w:rsid w:val="00C52DC5"/>
    <w:rsid w:val="00C63BE1"/>
    <w:rsid w:val="00C66537"/>
    <w:rsid w:val="00C7374A"/>
    <w:rsid w:val="00CA6F48"/>
    <w:rsid w:val="00CE583B"/>
    <w:rsid w:val="00D00152"/>
    <w:rsid w:val="00D216A3"/>
    <w:rsid w:val="00D23A5D"/>
    <w:rsid w:val="00D27377"/>
    <w:rsid w:val="00D546C8"/>
    <w:rsid w:val="00D81798"/>
    <w:rsid w:val="00D9188C"/>
    <w:rsid w:val="00D92852"/>
    <w:rsid w:val="00DA1186"/>
    <w:rsid w:val="00DA67FE"/>
    <w:rsid w:val="00DB1749"/>
    <w:rsid w:val="00DC06ED"/>
    <w:rsid w:val="00DD36FC"/>
    <w:rsid w:val="00DE378D"/>
    <w:rsid w:val="00DE53B6"/>
    <w:rsid w:val="00E0377B"/>
    <w:rsid w:val="00E041AA"/>
    <w:rsid w:val="00E16F38"/>
    <w:rsid w:val="00E44FB7"/>
    <w:rsid w:val="00E54E8B"/>
    <w:rsid w:val="00E60382"/>
    <w:rsid w:val="00E61325"/>
    <w:rsid w:val="00EA1B34"/>
    <w:rsid w:val="00EA345E"/>
    <w:rsid w:val="00EC294A"/>
    <w:rsid w:val="00EC729B"/>
    <w:rsid w:val="00ED2268"/>
    <w:rsid w:val="00ED58B5"/>
    <w:rsid w:val="00EE01B6"/>
    <w:rsid w:val="00EF56DE"/>
    <w:rsid w:val="00F04503"/>
    <w:rsid w:val="00F278E1"/>
    <w:rsid w:val="00F91875"/>
    <w:rsid w:val="00F9294B"/>
    <w:rsid w:val="00FD3B08"/>
    <w:rsid w:val="1F4B0A9A"/>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 w:type="table" w:styleId="4">
    <w:name w:val="Table Grid"/>
    <w:basedOn w:val="3"/>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
    <w:name w:val="List Paragraph"/>
    <w:basedOn w:val="1"/>
    <w:unhideWhenUsed/>
    <w:uiPriority w:val="99"/>
    <w:pPr>
      <w:ind w:firstLine="420" w:firstLineChars="200"/>
    </w:pPr>
    <w:rPr>
      <w:szCs w:val="24"/>
    </w:rPr>
  </w:style>
  <w:style w:type="paragraph" w:customStyle="1" w:styleId="6">
    <w:name w:val="_Style 1"/>
    <w:basedOn w:val="1"/>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534</Words>
  <Characters>3048</Characters>
  <Lines>25</Lines>
  <Paragraphs>7</Paragraphs>
  <TotalTime>0</TotalTime>
  <ScaleCrop>false</ScaleCrop>
  <LinksUpToDate>false</LinksUpToDate>
  <CharactersWithSpaces>3575</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2017-03-29T03:13:00Z</dcterms:created>
  <dc:creator>ZY</dc:creator>
  <cp:lastModifiedBy>Administrator</cp:lastModifiedBy>
  <dcterms:modified xsi:type="dcterms:W3CDTF">2017-03-31T03:20:54Z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